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54AA" w:rsidRPr="009F102E" w:rsidRDefault="00847027" w:rsidP="00D70D02">
      <w:pPr>
        <w:rPr>
          <w:noProof/>
          <w:lang w:eastAsia="en-GB"/>
        </w:rPr>
      </w:pPr>
      <w:r>
        <w:rPr>
          <w:noProof/>
          <w:lang w:eastAsia="en-GB"/>
        </w:rPr>
        <mc:AlternateContent>
          <mc:Choice Requires="wps">
            <w:drawing>
              <wp:anchor distT="0" distB="0" distL="114300" distR="114300" simplePos="0" relativeHeight="251660288" behindDoc="1" locked="0" layoutInCell="1" allowOverlap="1" wp14:anchorId="2B8FB59E" wp14:editId="43374A8F">
                <wp:simplePos x="0" y="0"/>
                <wp:positionH relativeFrom="column">
                  <wp:posOffset>-445770</wp:posOffset>
                </wp:positionH>
                <wp:positionV relativeFrom="page">
                  <wp:posOffset>82550</wp:posOffset>
                </wp:positionV>
                <wp:extent cx="3600450" cy="962025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600450" cy="9620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027" w:rsidRDefault="00847027" w:rsidP="0084702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8FB59E" id="Rectangle 3" o:spid="_x0000_s1026" alt="white rectangle for text on cover" style="position:absolute;margin-left:-35.1pt;margin-top:6.5pt;width:283.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" fillcolor="white [3212]" stroked="f" strokeweight="2pt">
                <v:textbox>
                  <w:txbxContent>
                    <w:p w:rsidR="00847027" w:rsidRDefault="00847027" w:rsidP="00847027">
                      <w:pPr>
                        <w:jc w:val="center"/>
                      </w:pPr>
                      <w:r>
                        <w:t>-----------</w:t>
                      </w:r>
                    </w:p>
                  </w:txbxContent>
                </v:textbox>
                <w10:wrap anchory="page"/>
              </v:rect>
            </w:pict>
          </mc:Fallback>
        </mc:AlternateContent>
      </w:r>
      <w:r>
        <w:rPr>
          <w:noProof/>
          <w:lang w:eastAsia="en-GB"/>
        </w:rPr>
        <mc:AlternateContent>
          <mc:Choice Requires="wps">
            <w:drawing>
              <wp:anchor distT="0" distB="0" distL="114300" distR="114300" simplePos="0" relativeHeight="251663360" behindDoc="0" locked="0" layoutInCell="1" allowOverlap="1" wp14:anchorId="797C40C6" wp14:editId="2ECDE324">
                <wp:simplePos x="0" y="0"/>
                <wp:positionH relativeFrom="column">
                  <wp:posOffset>-112395</wp:posOffset>
                </wp:positionH>
                <wp:positionV relativeFrom="page">
                  <wp:posOffset>723900</wp:posOffset>
                </wp:positionV>
                <wp:extent cx="3528695" cy="2438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528695" cy="2438400"/>
                        </a:xfrm>
                        <a:prstGeom prst="rect">
                          <a:avLst/>
                        </a:prstGeom>
                        <a:noFill/>
                        <a:ln w="6350">
                          <a:noFill/>
                        </a:ln>
                      </wps:spPr>
                      <wps:txbx>
                        <w:txbxContent>
                          <w:p w:rsidR="00CD29D1" w:rsidRDefault="00CD29D1" w:rsidP="00301B47">
                            <w:pPr>
                              <w:pStyle w:val="Title"/>
                              <w:rPr>
                                <w:sz w:val="56"/>
                                <w:szCs w:val="56"/>
                              </w:rPr>
                            </w:pPr>
                            <w:r>
                              <w:rPr>
                                <w:sz w:val="56"/>
                                <w:szCs w:val="56"/>
                              </w:rPr>
                              <w:t>ANNUAL</w:t>
                            </w:r>
                          </w:p>
                          <w:p w:rsidR="00CD29D1" w:rsidRDefault="00CD29D1" w:rsidP="00301B47">
                            <w:pPr>
                              <w:pStyle w:val="Title"/>
                              <w:rPr>
                                <w:sz w:val="56"/>
                                <w:szCs w:val="56"/>
                              </w:rPr>
                            </w:pPr>
                            <w:r>
                              <w:rPr>
                                <w:sz w:val="56"/>
                                <w:szCs w:val="56"/>
                              </w:rPr>
                              <w:t>REPORT</w:t>
                            </w:r>
                          </w:p>
                          <w:p w:rsidR="00CD29D1" w:rsidRPr="00301B47" w:rsidRDefault="00CD29D1" w:rsidP="00301B47">
                            <w:pPr>
                              <w:pStyle w:val="Title"/>
                              <w:rPr>
                                <w:sz w:val="56"/>
                                <w:szCs w:val="56"/>
                              </w:rPr>
                            </w:pPr>
                            <w:r>
                              <w:rPr>
                                <w:sz w:val="56"/>
                                <w:szCs w:val="56"/>
                              </w:rPr>
                              <w:t>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97C40C6" id="_x0000_t202" coordsize="21600,21600" o:spt="202" path="m,l,21600r21600,l21600,xe">
                <v:stroke joinstyle="miter"/>
                <v:path gradientshapeok="t" o:connecttype="rect"/>
              </v:shapetype>
              <v:shape id="Text Box 8" o:spid="_x0000_s1027" type="#_x0000_t202" style="position:absolute;margin-left:-8.85pt;margin-top:57pt;width:277.85pt;height:192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" filled="f" stroked="f" strokeweight=".5pt">
                <v:textbox>
                  <w:txbxContent>
                    <w:p w:rsidR="00CD29D1" w:rsidRDefault="00CD29D1" w:rsidP="00301B47">
                      <w:pPr>
                        <w:pStyle w:val="Title"/>
                        <w:rPr>
                          <w:sz w:val="56"/>
                          <w:szCs w:val="56"/>
                        </w:rPr>
                      </w:pPr>
                      <w:r>
                        <w:rPr>
                          <w:sz w:val="56"/>
                          <w:szCs w:val="56"/>
                        </w:rPr>
                        <w:t>ANNUAL</w:t>
                      </w:r>
                    </w:p>
                    <w:p w:rsidR="00CD29D1" w:rsidRDefault="00CD29D1" w:rsidP="00301B47">
                      <w:pPr>
                        <w:pStyle w:val="Title"/>
                        <w:rPr>
                          <w:sz w:val="56"/>
                          <w:szCs w:val="56"/>
                        </w:rPr>
                      </w:pPr>
                      <w:r>
                        <w:rPr>
                          <w:sz w:val="56"/>
                          <w:szCs w:val="56"/>
                        </w:rPr>
                        <w:t>REPORT</w:t>
                      </w:r>
                    </w:p>
                    <w:p w:rsidR="00CD29D1" w:rsidRPr="00301B47" w:rsidRDefault="00CD29D1" w:rsidP="00301B47">
                      <w:pPr>
                        <w:pStyle w:val="Title"/>
                        <w:rPr>
                          <w:sz w:val="56"/>
                          <w:szCs w:val="56"/>
                        </w:rPr>
                      </w:pPr>
                      <w:r>
                        <w:rPr>
                          <w:sz w:val="56"/>
                          <w:szCs w:val="56"/>
                        </w:rPr>
                        <w:t>2018/19</w:t>
                      </w:r>
                    </w:p>
                  </w:txbxContent>
                </v:textbox>
                <w10:wrap type="square" anchory="page"/>
              </v:shape>
            </w:pict>
          </mc:Fallback>
        </mc:AlternateContent>
      </w:r>
      <w:r w:rsidR="00252AE3">
        <w:rPr>
          <w:noProof/>
          <w:sz w:val="20"/>
          <w:szCs w:val="20"/>
          <w:lang w:eastAsia="en-GB"/>
        </w:rPr>
        <w:drawing>
          <wp:anchor distT="0" distB="0" distL="114300" distR="114300" simplePos="0" relativeHeight="251662336" behindDoc="0" locked="0" layoutInCell="1" allowOverlap="1" wp14:anchorId="550493A1" wp14:editId="2BA0593D">
            <wp:simplePos x="0" y="0"/>
            <wp:positionH relativeFrom="column">
              <wp:posOffset>5470525</wp:posOffset>
            </wp:positionH>
            <wp:positionV relativeFrom="page">
              <wp:posOffset>219075</wp:posOffset>
            </wp:positionV>
            <wp:extent cx="1428750" cy="6572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anchor>
        </w:drawing>
      </w:r>
      <w:r w:rsidR="0019375F">
        <w:rPr>
          <w:noProof/>
          <w:lang w:eastAsia="en-GB"/>
        </w:rPr>
        <w:drawing>
          <wp:anchor distT="0" distB="0" distL="114300" distR="114300" simplePos="0" relativeHeight="251658240" behindDoc="1" locked="0" layoutInCell="1" allowOverlap="1" wp14:anchorId="418C3328" wp14:editId="3A934FA3">
            <wp:simplePos x="0" y="0"/>
            <wp:positionH relativeFrom="column">
              <wp:posOffset>3153410</wp:posOffset>
            </wp:positionH>
            <wp:positionV relativeFrom="page">
              <wp:posOffset>101600</wp:posOffset>
            </wp:positionV>
            <wp:extent cx="3800475" cy="506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1">
                      <a:extLst>
                        <a:ext uri="{28A0092B-C50C-407E-A947-70E740481C1C}">
                          <a14:useLocalDpi xmlns:a14="http://schemas.microsoft.com/office/drawing/2010/main" val="0"/>
                        </a:ext>
                      </a:extLst>
                    </a:blip>
                    <a:stretch>
                      <a:fillRect/>
                    </a:stretch>
                  </pic:blipFill>
                  <pic:spPr>
                    <a:xfrm>
                      <a:off x="0" y="0"/>
                      <a:ext cx="3800475" cy="5067300"/>
                    </a:xfrm>
                    <a:prstGeom prst="rect">
                      <a:avLst/>
                    </a:prstGeom>
                  </pic:spPr>
                </pic:pic>
              </a:graphicData>
            </a:graphic>
            <wp14:sizeRelH relativeFrom="margin">
              <wp14:pctWidth>0</wp14:pctWidth>
            </wp14:sizeRelH>
            <wp14:sizeRelV relativeFrom="margin">
              <wp14:pctHeight>0</wp14:pctHeight>
            </wp14:sizeRelV>
          </wp:anchor>
        </w:drawing>
      </w:r>
    </w:p>
    <w:p w:rsidR="000654AA" w:rsidRDefault="000654AA" w:rsidP="00D70D02"/>
    <w:p w:rsidR="000654AA" w:rsidRDefault="000654AA" w:rsidP="00D70D02"/>
    <w:p w:rsidR="000654AA" w:rsidRDefault="000654AA" w:rsidP="00D70D02"/>
    <w:p w:rsidR="000654AA" w:rsidRDefault="000654AA" w:rsidP="00D70D02"/>
    <w:p w:rsidR="000654AA" w:rsidRDefault="000654AA" w:rsidP="00D70D02"/>
    <w:p w:rsidR="000654AA" w:rsidRDefault="000654AA" w:rsidP="00D70D02"/>
    <w:p w:rsidR="000654AA" w:rsidRDefault="000654AA" w:rsidP="00D70D02"/>
    <w:p w:rsidR="000654AA" w:rsidRDefault="000654AA" w:rsidP="00D70D02"/>
    <w:p w:rsidR="000654AA" w:rsidRDefault="000654AA" w:rsidP="00D70D02"/>
    <w:p w:rsidR="000654AA" w:rsidRDefault="000654AA" w:rsidP="00D70D02"/>
    <w:p w:rsidR="000654AA" w:rsidRDefault="000654AA" w:rsidP="00D70D02"/>
    <w:p w:rsidR="005E31E6" w:rsidRDefault="005E31E6" w:rsidP="00D70D02"/>
    <w:p w:rsidR="005E31E6" w:rsidRDefault="005E31E6" w:rsidP="00D70D02"/>
    <w:p w:rsidR="005E31E6" w:rsidRDefault="005E31E6" w:rsidP="00D70D02"/>
    <w:p w:rsidR="005E31E6" w:rsidRDefault="005E31E6" w:rsidP="00D70D02"/>
    <w:p w:rsidR="005E31E6" w:rsidRDefault="005E31E6" w:rsidP="00D70D02"/>
    <w:p w:rsidR="00DB642C" w:rsidRDefault="00DB642C" w:rsidP="00D70D02"/>
    <w:p w:rsidR="00DB642C" w:rsidRDefault="00DB642C" w:rsidP="00D70D02"/>
    <w:p w:rsidR="00DB642C" w:rsidRDefault="00DB642C" w:rsidP="00D70D02"/>
    <w:p w:rsidR="005E31E6" w:rsidRDefault="005E31E6" w:rsidP="00D70D02"/>
    <w:p w:rsidR="00DB642C" w:rsidRDefault="00DB642C" w:rsidP="00D70D02"/>
    <w:p w:rsidR="00DB642C" w:rsidRDefault="00DB642C" w:rsidP="00D70D02"/>
    <w:p w:rsidR="000654AA" w:rsidRDefault="000654AA" w:rsidP="00D70D02"/>
    <w:sdt>
      <w:sdtPr>
        <w:id w:val="1080870105"/>
        <w:placeholder>
          <w:docPart w:val="78C35D5BE2C64609B3F67E301E265452"/>
        </w:placeholder>
      </w:sdtPr>
      <w:sdtEndPr/>
      <w:sdtContent>
        <w:p w:rsidR="000654AA" w:rsidRDefault="000654AA" w:rsidP="000654AA">
          <w:r>
            <w:rPr>
              <w:rStyle w:val="SubtitleChar"/>
              <w:b w:val="0"/>
            </w:rPr>
            <w:t>2018/19</w:t>
          </w:r>
        </w:p>
      </w:sdtContent>
    </w:sdt>
    <w:p w:rsidR="000654AA" w:rsidRDefault="000654AA" w:rsidP="000654AA">
      <w:pPr>
        <w:rPr>
          <w:noProof/>
          <w:sz w:val="10"/>
          <w:szCs w:val="10"/>
        </w:rPr>
      </w:pPr>
      <w:r w:rsidRPr="00D86945">
        <w:rPr>
          <w:noProof/>
          <w:sz w:val="10"/>
          <w:szCs w:val="10"/>
          <w:lang w:eastAsia="en-GB"/>
        </w:rPr>
        <mc:AlternateContent>
          <mc:Choice Requires="wps">
            <w:drawing>
              <wp:inline distT="0" distB="0" distL="0" distR="0" wp14:anchorId="2D3439EF" wp14:editId="479F4A8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noFill/>
                        <a:ln w="38100">
                          <a:solidFill>
                            <a:srgbClr val="082A75"/>
                          </a:solidFill>
                          <a:prstDash val="solid"/>
                        </a:ln>
                        <a:effectLst/>
                      </wps:spPr>
                      <wps:bodyPr/>
                    </wps:wsp>
                  </a:graphicData>
                </a:graphic>
              </wp:inline>
            </w:drawing>
          </mc:Choice>
          <mc:Fallback xmlns:w15="http://schemas.microsoft.com/office/word/2012/wordml">
            <w:pict>
              <v:line w14:anchorId="4708237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" strokecolor="#082a75" strokeweight="3pt">
                <w10:anchorlock/>
              </v:line>
            </w:pict>
          </mc:Fallback>
        </mc:AlternateContent>
      </w:r>
    </w:p>
    <w:p w:rsidR="000654AA" w:rsidRDefault="000654AA" w:rsidP="000654AA">
      <w:pPr>
        <w:rPr>
          <w:noProof/>
          <w:sz w:val="10"/>
          <w:szCs w:val="10"/>
        </w:rPr>
      </w:pPr>
    </w:p>
    <w:p w:rsidR="000654AA" w:rsidRDefault="000654AA" w:rsidP="000654AA">
      <w:pPr>
        <w:rPr>
          <w:noProof/>
          <w:sz w:val="10"/>
          <w:szCs w:val="10"/>
        </w:rPr>
      </w:pPr>
    </w:p>
    <w:p w:rsidR="000654AA" w:rsidRDefault="00950341" w:rsidP="000654AA">
      <w:sdt>
        <w:sdtPr>
          <w:id w:val="-1740469667"/>
          <w:placeholder>
            <w:docPart w:val="A3A4D53A3A8F4808AEA9EA21D8803DE5"/>
          </w:placeholder>
        </w:sdtPr>
        <w:sdtEndPr/>
        <w:sdtContent>
          <w:r w:rsidR="000654AA">
            <w:t>OXFORD CITY HOUSING LIMITED</w:t>
          </w:r>
        </w:sdtContent>
      </w:sdt>
    </w:p>
    <w:p w:rsidR="00FE16D1" w:rsidRDefault="00D077E9" w:rsidP="00FE16D1">
      <w:r w:rsidRPr="00D967AC">
        <w:rPr>
          <w:noProof/>
          <w:lang w:eastAsia="en-GB"/>
        </w:rPr>
        <w:drawing>
          <wp:anchor distT="0" distB="0" distL="114300" distR="114300" simplePos="0" relativeHeight="251668992" behindDoc="0" locked="0" layoutInCell="1" allowOverlap="1" wp14:anchorId="12FBD1BA" wp14:editId="61A98FA1">
            <wp:simplePos x="0" y="0"/>
            <wp:positionH relativeFrom="column">
              <wp:posOffset>4951730</wp:posOffset>
            </wp:positionH>
            <wp:positionV relativeFrom="paragraph">
              <wp:posOffset>7353997</wp:posOffset>
            </wp:positionV>
            <wp:extent cx="1483995" cy="643890"/>
            <wp:effectExtent l="0" t="0" r="0" b="3810"/>
            <wp:wrapNone/>
            <wp:docPr id="12" name="Graphic 201" descr="logo-placeholder">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F3D65186-AB5A-4584-87C3-0FAA2992263B}"/>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3"/>
                        </a:ext>
                      </a:extLst>
                    </a:blip>
                    <a:stretch>
                      <a:fillRect/>
                    </a:stretch>
                  </pic:blipFill>
                  <pic:spPr>
                    <a:xfrm>
                      <a:off x="0" y="0"/>
                      <a:ext cx="1483995" cy="643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4656" behindDoc="1" locked="0" layoutInCell="1" allowOverlap="1" wp14:anchorId="40F80322" wp14:editId="059CFB8F">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gradFill flip="none" rotWithShape="1">
                          <a:gsLst>
                            <a:gs pos="0">
                              <a:srgbClr val="1B587C">
                                <a:shade val="30000"/>
                                <a:satMod val="115000"/>
                              </a:srgbClr>
                            </a:gs>
                            <a:gs pos="50000">
                              <a:srgbClr val="1B587C">
                                <a:shade val="67500"/>
                                <a:satMod val="115000"/>
                              </a:srgbClr>
                            </a:gs>
                            <a:gs pos="100000">
                              <a:srgbClr val="1B587C">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9C480A" id="Rectangle 2" o:spid="_x0000_s1026" alt="colored rectangle" style="position:absolute;margin-left:-58.8pt;margin-top:525.2pt;width:611.1pt;height:265.7pt;z-index:-2516618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" fillcolor="#06314a" stroked="f" strokeweight="2pt">
                <v:fill color2="#145a83" rotate="t" angle="180" colors="0 #06314a;.5 #0f4a6d;1 #145a83" focus="100%" type="gradient"/>
                <w10:wrap anchory="page"/>
              </v:rect>
            </w:pict>
          </mc:Fallback>
        </mc:AlternateContent>
      </w:r>
      <w:r>
        <w:br w:type="page"/>
      </w:r>
    </w:p>
    <w:tbl>
      <w:tblPr>
        <w:tblpPr w:leftFromText="180" w:rightFromText="180" w:vertAnchor="text" w:horzAnchor="margin" w:tblpY="-1220"/>
        <w:tblW w:w="9999" w:type="dxa"/>
        <w:tblCellMar>
          <w:left w:w="0" w:type="dxa"/>
          <w:right w:w="0" w:type="dxa"/>
        </w:tblCellMar>
        <w:tblLook w:val="0000" w:firstRow="0" w:lastRow="0" w:firstColumn="0" w:lastColumn="0" w:noHBand="0" w:noVBand="0"/>
      </w:tblPr>
      <w:tblGrid>
        <w:gridCol w:w="10080"/>
      </w:tblGrid>
      <w:tr w:rsidR="00FE16D1" w:rsidTr="00FE16D1">
        <w:trPr>
          <w:trHeight w:val="3546"/>
        </w:trPr>
        <w:tc>
          <w:tcPr>
            <w:tcW w:w="9999" w:type="dxa"/>
          </w:tcPr>
          <w:sdt>
            <w:sdtPr>
              <w:rPr>
                <w:rFonts w:asciiTheme="majorHAnsi" w:hAnsiTheme="majorHAnsi"/>
                <w:b/>
                <w:color w:val="773F04" w:themeColor="accent1" w:themeShade="7F"/>
                <w:sz w:val="24"/>
                <w:szCs w:val="24"/>
              </w:rPr>
              <w:id w:val="1660650702"/>
              <w:placeholder>
                <w:docPart w:val="D8ECBB2A1E85423BB955D87561D0E2B2"/>
              </w:placeholder>
            </w:sdtPr>
            <w:sdtEndPr/>
            <w:sdtContent>
              <w:p w:rsidR="00231BBF" w:rsidRDefault="00231BBF" w:rsidP="00FE16D1">
                <w:pPr>
                  <w:pStyle w:val="Heading2"/>
                </w:pPr>
              </w:p>
              <w:p w:rsidR="00231BBF" w:rsidRDefault="00231BBF" w:rsidP="00FE16D1">
                <w:pPr>
                  <w:pStyle w:val="Heading2"/>
                </w:pPr>
              </w:p>
              <w:p w:rsidR="00231BBF" w:rsidRPr="00231BBF" w:rsidRDefault="00D45000" w:rsidP="00231BBF">
                <w:pPr>
                  <w:pStyle w:val="Heading1"/>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2278380</wp:posOffset>
                          </wp:positionH>
                          <wp:positionV relativeFrom="paragraph">
                            <wp:posOffset>12700</wp:posOffset>
                          </wp:positionV>
                          <wp:extent cx="4178300" cy="787400"/>
                          <wp:effectExtent l="0" t="0" r="0" b="0"/>
                          <wp:wrapNone/>
                          <wp:docPr id="4" name="Rectangle 4"/>
                          <wp:cNvGraphicFramePr/>
                          <a:graphic xmlns:a="http://schemas.openxmlformats.org/drawingml/2006/main">
                            <a:graphicData uri="http://schemas.microsoft.com/office/word/2010/wordprocessingShape">
                              <wps:wsp>
                                <wps:cNvSpPr/>
                                <wps:spPr>
                                  <a:xfrm>
                                    <a:off x="0" y="0"/>
                                    <a:ext cx="4178300" cy="787400"/>
                                  </a:xfrm>
                                  <a:prstGeom prst="rect">
                                    <a:avLst/>
                                  </a:prstGeom>
                                  <a:solidFill>
                                    <a:srgbClr val="005386">
                                      <a:alpha val="33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29D1" w:rsidRPr="00D45000" w:rsidRDefault="00CD29D1" w:rsidP="00D45000">
                                      <w:pPr>
                                        <w:jc w:val="center"/>
                                        <w:rPr>
                                          <w:i/>
                                          <w14:textFill>
                                            <w14:solidFill>
                                              <w14:schemeClr w14:val="tx2">
                                                <w14:alpha w14:val="100000"/>
                                              </w14:schemeClr>
                                            </w14:solidFill>
                                          </w14:textFill>
                                        </w:rPr>
                                      </w:pPr>
                                      <w:r>
                                        <w:rPr>
                                          <w:i/>
                                        </w:rPr>
                                        <w:t xml:space="preserve">Delivering new affordable housing </w:t>
                                      </w:r>
                                      <w:r w:rsidRPr="00D45000">
                                        <w:rPr>
                                          <w:i/>
                                        </w:rPr>
                                        <w:t>for Oxford’s residents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4" o:spid="_x0000_s1028" style="position:absolute;margin-left:179.4pt;margin-top:1pt;width:329pt;height:62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" fillcolor="#005386" stroked="f" strokeweight="2pt">
                          <v:fill opacity="21588f"/>
                          <v:textbox>
                            <w:txbxContent>
                              <w:p w:rsidR="00CD29D1" w:rsidRPr="00D45000" w:rsidRDefault="00CD29D1" w:rsidP="00D45000">
                                <w:pPr>
                                  <w:jc w:val="center"/>
                                  <w:rPr>
                                    <w:i/>
                                    <w14:textFill>
                                      <w14:solidFill>
                                        <w14:schemeClr w14:val="tx2">
                                          <w14:alpha w14:val="100000"/>
                                        </w14:schemeClr>
                                      </w14:solidFill>
                                    </w14:textFill>
                                  </w:rPr>
                                </w:pPr>
                                <w:r>
                                  <w:rPr>
                                    <w:i/>
                                  </w:rPr>
                                  <w:t xml:space="preserve">Delivering new affordable housing </w:t>
                                </w:r>
                                <w:r w:rsidRPr="00D45000">
                                  <w:rPr>
                                    <w:i/>
                                  </w:rPr>
                                  <w:t>for Oxford’s residents</w:t>
                                </w:r>
                              </w:p>
                            </w:txbxContent>
                          </v:textbox>
                        </v:rect>
                      </w:pict>
                    </mc:Fallback>
                  </mc:AlternateContent>
                </w:r>
                <w:r w:rsidR="00231BBF">
                  <w:t>Contents</w:t>
                </w:r>
              </w:p>
              <w:p w:rsidR="00FE16D1" w:rsidRDefault="00FE16D1" w:rsidP="00FE16D1">
                <w:pPr>
                  <w:pStyle w:val="Heading2"/>
                </w:pPr>
                <w:r>
                  <w:t>Strategic Report</w:t>
                </w:r>
              </w:p>
              <w:p w:rsidR="00FE16D1" w:rsidRPr="00353C70" w:rsidRDefault="00FE16D1" w:rsidP="00FE16D1">
                <w:pPr>
                  <w:pStyle w:val="Heading3"/>
                </w:pPr>
                <w:r>
                  <w:t>Overview</w:t>
                </w:r>
              </w:p>
            </w:sdtContent>
          </w:sdt>
          <w:p w:rsidR="00FE16D1" w:rsidRDefault="00FE16D1" w:rsidP="00FE16D1">
            <w:r>
              <w:rPr>
                <w:noProof/>
                <w:lang w:eastAsia="en-GB"/>
              </w:rPr>
              <w:drawing>
                <wp:inline distT="0" distB="0" distL="0" distR="0" wp14:anchorId="0F68127C" wp14:editId="2699D9A5">
                  <wp:extent cx="6305550" cy="666750"/>
                  <wp:effectExtent l="57150" t="38100" r="57150" b="1524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E16D1" w:rsidRPr="00353C70" w:rsidRDefault="00FE16D1" w:rsidP="00FE16D1">
            <w:pPr>
              <w:pStyle w:val="Heading3"/>
            </w:pPr>
            <w:r>
              <w:t>Strategy</w:t>
            </w:r>
          </w:p>
          <w:p w:rsidR="00FE16D1" w:rsidRDefault="00FE16D1" w:rsidP="00FE16D1">
            <w:r>
              <w:rPr>
                <w:noProof/>
                <w:lang w:eastAsia="en-GB"/>
              </w:rPr>
              <w:drawing>
                <wp:inline distT="0" distB="0" distL="0" distR="0" wp14:anchorId="773F4410" wp14:editId="512311B2">
                  <wp:extent cx="6261100" cy="349250"/>
                  <wp:effectExtent l="38100" t="38100" r="63500" b="1651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E16D1" w:rsidRDefault="00FE16D1" w:rsidP="00FE16D1">
            <w:pPr>
              <w:pStyle w:val="Heading3"/>
            </w:pPr>
            <w:r>
              <w:t>Performance</w:t>
            </w:r>
          </w:p>
          <w:p w:rsidR="00FE16D1" w:rsidRPr="00C02492" w:rsidRDefault="00FE16D1" w:rsidP="00197F88">
            <w:pPr>
              <w:tabs>
                <w:tab w:val="left" w:pos="2320"/>
              </w:tabs>
            </w:pPr>
            <w:r>
              <w:rPr>
                <w:noProof/>
                <w:lang w:eastAsia="en-GB"/>
              </w:rPr>
              <w:drawing>
                <wp:inline distT="0" distB="0" distL="0" distR="0" wp14:anchorId="496ACB7B" wp14:editId="210D0427">
                  <wp:extent cx="6305550" cy="1549400"/>
                  <wp:effectExtent l="57150" t="0" r="57150" b="1079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E16D1" w:rsidRDefault="00FE16D1" w:rsidP="00FE16D1">
            <w:pPr>
              <w:pStyle w:val="Heading3"/>
            </w:pPr>
            <w:r>
              <w:t>Corporate Governance</w:t>
            </w:r>
          </w:p>
          <w:p w:rsidR="00FE16D1" w:rsidRDefault="00FE16D1" w:rsidP="00FE16D1">
            <w:r>
              <w:rPr>
                <w:noProof/>
                <w:lang w:eastAsia="en-GB"/>
              </w:rPr>
              <w:drawing>
                <wp:inline distT="0" distB="0" distL="0" distR="0" wp14:anchorId="0B65172D" wp14:editId="4036C601">
                  <wp:extent cx="6305550" cy="406400"/>
                  <wp:effectExtent l="38100" t="38100" r="57150" b="1841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E16D1" w:rsidRDefault="00FE16D1" w:rsidP="00FE16D1">
            <w:pPr>
              <w:pStyle w:val="Heading3"/>
            </w:pPr>
            <w:r>
              <w:t>Financial Statements</w:t>
            </w:r>
          </w:p>
          <w:p w:rsidR="00FE16D1" w:rsidRDefault="00FE16D1" w:rsidP="00FE16D1">
            <w:r>
              <w:rPr>
                <w:noProof/>
                <w:lang w:eastAsia="en-GB"/>
              </w:rPr>
              <w:drawing>
                <wp:inline distT="0" distB="0" distL="0" distR="0" wp14:anchorId="1056F819" wp14:editId="7378817D">
                  <wp:extent cx="6305550" cy="704850"/>
                  <wp:effectExtent l="57150" t="38100" r="57150" b="1714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E16D1" w:rsidRDefault="00FE16D1" w:rsidP="00FE16D1">
            <w:pPr>
              <w:pStyle w:val="Content"/>
            </w:pPr>
          </w:p>
        </w:tc>
      </w:tr>
    </w:tbl>
    <w:p w:rsidR="0087605E" w:rsidRDefault="0087605E" w:rsidP="00DF027C"/>
    <w:p w:rsidR="002248D9" w:rsidRDefault="00BA2CE7" w:rsidP="00DF027C">
      <w:r>
        <w:rPr>
          <w:rFonts w:ascii="Arial" w:hAnsi="Arial" w:cs="Arial"/>
          <w:b w:val="0"/>
          <w:bCs/>
          <w:noProof/>
          <w:color w:val="333333"/>
          <w:spacing w:val="4"/>
          <w:sz w:val="22"/>
          <w:lang w:eastAsia="en-GB"/>
        </w:rPr>
        <w:lastRenderedPageBreak/>
        <w:drawing>
          <wp:anchor distT="0" distB="0" distL="114300" distR="114300" simplePos="0" relativeHeight="251671040" behindDoc="0" locked="0" layoutInCell="1" allowOverlap="1" wp14:anchorId="1DC6C1C9" wp14:editId="6D050380">
            <wp:simplePos x="0" y="0"/>
            <wp:positionH relativeFrom="column">
              <wp:posOffset>4578350</wp:posOffset>
            </wp:positionH>
            <wp:positionV relativeFrom="paragraph">
              <wp:posOffset>71755</wp:posOffset>
            </wp:positionV>
            <wp:extent cx="1739900" cy="2095500"/>
            <wp:effectExtent l="0" t="0" r="0" b="0"/>
            <wp:wrapSquare wrapText="bothSides"/>
            <wp:docPr id="7" name="Picture 7" descr="Stephen Clarke's picture">
              <a:hlinkClick xmlns:a="http://schemas.openxmlformats.org/drawingml/2006/main" r:id="rId39"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Clarke's picture">
                      <a:hlinkClick r:id="rId39" tooltip="&quot;View user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9900" cy="2095500"/>
                    </a:xfrm>
                    <a:prstGeom prst="rect">
                      <a:avLst/>
                    </a:prstGeom>
                    <a:noFill/>
                    <a:ln>
                      <a:noFill/>
                    </a:ln>
                  </pic:spPr>
                </pic:pic>
              </a:graphicData>
            </a:graphic>
          </wp:anchor>
        </w:drawing>
      </w:r>
    </w:p>
    <w:p w:rsidR="00D93D69" w:rsidRPr="0003261B" w:rsidRDefault="00D93D69" w:rsidP="00D93D69">
      <w:pPr>
        <w:pStyle w:val="Heading2"/>
        <w:rPr>
          <w:b/>
        </w:rPr>
      </w:pPr>
      <w:r w:rsidRPr="0003261B">
        <w:rPr>
          <w:b/>
          <w:noProof/>
          <w:color w:val="005386"/>
          <w:lang w:eastAsia="en-GB"/>
        </w:rPr>
        <mc:AlternateContent>
          <mc:Choice Requires="wps">
            <w:drawing>
              <wp:anchor distT="0" distB="0" distL="114300" distR="114300" simplePos="0" relativeHeight="251672064" behindDoc="0" locked="0" layoutInCell="1" allowOverlap="1" wp14:anchorId="38FF0BC9" wp14:editId="2B73E49B">
                <wp:simplePos x="0" y="0"/>
                <wp:positionH relativeFrom="column">
                  <wp:posOffset>-83820</wp:posOffset>
                </wp:positionH>
                <wp:positionV relativeFrom="paragraph">
                  <wp:posOffset>207010</wp:posOffset>
                </wp:positionV>
                <wp:extent cx="4591050" cy="2178050"/>
                <wp:effectExtent l="0" t="0" r="0" b="0"/>
                <wp:wrapNone/>
                <wp:docPr id="9" name="Rectangle 9"/>
                <wp:cNvGraphicFramePr/>
                <a:graphic xmlns:a="http://schemas.openxmlformats.org/drawingml/2006/main">
                  <a:graphicData uri="http://schemas.microsoft.com/office/word/2010/wordprocessingShape">
                    <wps:wsp>
                      <wps:cNvSpPr/>
                      <wps:spPr>
                        <a:xfrm>
                          <a:off x="0" y="0"/>
                          <a:ext cx="4591050" cy="2178050"/>
                        </a:xfrm>
                        <a:prstGeom prst="rect">
                          <a:avLst/>
                        </a:prstGeom>
                        <a:noFill/>
                        <a:ln w="25400">
                          <a:noFill/>
                          <a:prstDash val="solid"/>
                        </a:ln>
                        <a:effectLst/>
                      </wps:spPr>
                      <wps:txbx>
                        <w:txbxContent>
                          <w:p w:rsidR="00CD29D1" w:rsidRPr="00D93D69" w:rsidRDefault="00CD29D1" w:rsidP="00D93D69">
                            <w:pPr>
                              <w:jc w:val="center"/>
                              <w:rPr>
                                <w:i/>
                                <w:sz w:val="48"/>
                                <w:szCs w:val="48"/>
                                <w14:textFill>
                                  <w14:solidFill>
                                    <w14:schemeClr w14:val="tx2">
                                      <w14:alpha w14:val="100000"/>
                                    </w14:schemeClr>
                                  </w14:solidFill>
                                </w14:textFill>
                              </w:rPr>
                            </w:pPr>
                            <w:r w:rsidRPr="00066C4F">
                              <w:rPr>
                                <w:i/>
                                <w:szCs w:val="28"/>
                              </w:rPr>
                              <w:t>“</w:t>
                            </w:r>
                            <w:r>
                              <w:rPr>
                                <w:i/>
                              </w:rPr>
                              <w:t>During a year in which we have witnessed significant changes in Government policy and strategic direction for  the social housing new build agenda within the public sector, OCHL has continued to demonstrate its increasing role to Oxford City Council and its residents in both delivering what our community needs and contributing to the long term  financial position of our shareholder.</w:t>
                            </w:r>
                            <w:r w:rsidRPr="00066C4F">
                              <w:rPr>
                                <w:i/>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FF0BC9" id="Rectangle 9" o:spid="_x0000_s1029" style="position:absolute;margin-left:-6.6pt;margin-top:16.3pt;width:361.5pt;height:1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" filled="f" stroked="f" strokeweight="2pt">
                <v:textbox>
                  <w:txbxContent>
                    <w:p w:rsidR="00CD29D1" w:rsidRPr="00D93D69" w:rsidRDefault="00CD29D1" w:rsidP="00D93D69">
                      <w:pPr>
                        <w:jc w:val="center"/>
                        <w:rPr>
                          <w:i/>
                          <w:sz w:val="48"/>
                          <w:szCs w:val="48"/>
                          <w14:textFill>
                            <w14:solidFill>
                              <w14:schemeClr w14:val="tx2">
                                <w14:alpha w14:val="100000"/>
                              </w14:schemeClr>
                            </w14:solidFill>
                          </w14:textFill>
                        </w:rPr>
                      </w:pPr>
                      <w:r w:rsidRPr="00066C4F">
                        <w:rPr>
                          <w:i/>
                          <w:szCs w:val="28"/>
                        </w:rPr>
                        <w:t>“</w:t>
                      </w:r>
                      <w:r>
                        <w:rPr>
                          <w:i/>
                        </w:rPr>
                        <w:t>During a year in which we have witnessed significant changes in Government policy and strategic direction for  the social housing new build agenda within the public sector, OCHL has continued to demonstrate its increasing role to Oxford City Council and its residents in both delivering what our community needs and contributing to the long term  financial position of our shareholder.</w:t>
                      </w:r>
                      <w:r w:rsidRPr="00066C4F">
                        <w:rPr>
                          <w:i/>
                          <w:szCs w:val="28"/>
                        </w:rPr>
                        <w:t>”</w:t>
                      </w:r>
                    </w:p>
                  </w:txbxContent>
                </v:textbox>
              </v:rect>
            </w:pict>
          </mc:Fallback>
        </mc:AlternateContent>
      </w:r>
      <w:r w:rsidRPr="0003261B">
        <w:rPr>
          <w:b/>
          <w:color w:val="005386"/>
        </w:rPr>
        <w:t>Chairman’s Letter</w:t>
      </w:r>
    </w:p>
    <w:p w:rsidR="002248D9" w:rsidRDefault="00BA2CE7" w:rsidP="00D93D69">
      <w:pPr>
        <w:pStyle w:val="Content"/>
      </w:pPr>
      <w:r>
        <w:br w:type="textWrapping" w:clear="all"/>
      </w:r>
    </w:p>
    <w:p w:rsidR="002248D9" w:rsidRDefault="002248D9" w:rsidP="00DF027C"/>
    <w:p w:rsidR="002248D9" w:rsidRPr="009D1629" w:rsidRDefault="0003261B" w:rsidP="0003261B">
      <w:pPr>
        <w:pStyle w:val="Heading2"/>
        <w:rPr>
          <w:color w:val="005386"/>
        </w:rPr>
      </w:pPr>
      <w:r w:rsidRPr="009D1629">
        <w:rPr>
          <w:color w:val="005386"/>
        </w:rPr>
        <w:t>Dear Shareholder</w:t>
      </w:r>
    </w:p>
    <w:p w:rsidR="0003261B" w:rsidRDefault="0003261B" w:rsidP="0003261B">
      <w:pPr>
        <w:rPr>
          <w:b w:val="0"/>
          <w:color w:val="auto"/>
        </w:rPr>
      </w:pPr>
      <w:r w:rsidRPr="0003261B">
        <w:rPr>
          <w:b w:val="0"/>
          <w:color w:val="auto"/>
        </w:rPr>
        <w:t>It’s</w:t>
      </w:r>
      <w:r>
        <w:rPr>
          <w:b w:val="0"/>
          <w:color w:val="auto"/>
        </w:rPr>
        <w:t xml:space="preserve"> been a challenging </w:t>
      </w:r>
      <w:r w:rsidR="0054582F">
        <w:rPr>
          <w:b w:val="0"/>
          <w:color w:val="auto"/>
        </w:rPr>
        <w:t xml:space="preserve">and ultimately positive </w:t>
      </w:r>
      <w:r>
        <w:rPr>
          <w:b w:val="0"/>
          <w:color w:val="auto"/>
        </w:rPr>
        <w:t xml:space="preserve">12 </w:t>
      </w:r>
      <w:r w:rsidR="0054582F">
        <w:rPr>
          <w:b w:val="0"/>
          <w:color w:val="auto"/>
        </w:rPr>
        <w:t>months</w:t>
      </w:r>
      <w:r w:rsidR="00C650EC">
        <w:rPr>
          <w:b w:val="0"/>
          <w:color w:val="auto"/>
        </w:rPr>
        <w:t>:</w:t>
      </w:r>
      <w:r w:rsidR="00E7254E">
        <w:rPr>
          <w:b w:val="0"/>
          <w:color w:val="auto"/>
        </w:rPr>
        <w:t xml:space="preserve"> </w:t>
      </w:r>
      <w:r>
        <w:rPr>
          <w:b w:val="0"/>
          <w:color w:val="auto"/>
        </w:rPr>
        <w:t xml:space="preserve">Board member changes, </w:t>
      </w:r>
      <w:r w:rsidR="00E7254E">
        <w:rPr>
          <w:b w:val="0"/>
          <w:color w:val="auto"/>
        </w:rPr>
        <w:t xml:space="preserve">a delivery vehicle for the Oxfordshire Growth </w:t>
      </w:r>
      <w:r w:rsidR="00713D21">
        <w:rPr>
          <w:b w:val="0"/>
          <w:color w:val="auto"/>
        </w:rPr>
        <w:t>Deal, scoping</w:t>
      </w:r>
      <w:r w:rsidR="00E7254E">
        <w:rPr>
          <w:b w:val="0"/>
          <w:color w:val="auto"/>
        </w:rPr>
        <w:t xml:space="preserve"> an OCHL application </w:t>
      </w:r>
      <w:r w:rsidR="00594985">
        <w:rPr>
          <w:b w:val="0"/>
          <w:color w:val="auto"/>
        </w:rPr>
        <w:t>for</w:t>
      </w:r>
      <w:r w:rsidR="00E7254E">
        <w:rPr>
          <w:b w:val="0"/>
          <w:color w:val="auto"/>
        </w:rPr>
        <w:t xml:space="preserve"> </w:t>
      </w:r>
      <w:r w:rsidR="00D302EF">
        <w:rPr>
          <w:b w:val="0"/>
          <w:color w:val="auto"/>
        </w:rPr>
        <w:t xml:space="preserve">significant </w:t>
      </w:r>
      <w:r>
        <w:rPr>
          <w:b w:val="0"/>
          <w:color w:val="auto"/>
        </w:rPr>
        <w:t xml:space="preserve">Government policy </w:t>
      </w:r>
      <w:r w:rsidR="00D302EF">
        <w:rPr>
          <w:b w:val="0"/>
          <w:color w:val="auto"/>
        </w:rPr>
        <w:t xml:space="preserve">changes and </w:t>
      </w:r>
      <w:r w:rsidR="009D1629">
        <w:rPr>
          <w:b w:val="0"/>
          <w:color w:val="auto"/>
        </w:rPr>
        <w:t xml:space="preserve">finally </w:t>
      </w:r>
      <w:r w:rsidR="00C650EC">
        <w:rPr>
          <w:b w:val="0"/>
          <w:color w:val="auto"/>
        </w:rPr>
        <w:t>managing</w:t>
      </w:r>
      <w:r w:rsidR="00CC1DD1">
        <w:rPr>
          <w:b w:val="0"/>
          <w:color w:val="auto"/>
        </w:rPr>
        <w:t xml:space="preserve"> </w:t>
      </w:r>
      <w:r w:rsidR="009D1629">
        <w:rPr>
          <w:b w:val="0"/>
          <w:color w:val="auto"/>
        </w:rPr>
        <w:t xml:space="preserve">local planning policy compliance </w:t>
      </w:r>
      <w:r w:rsidR="00CC1DD1">
        <w:rPr>
          <w:b w:val="0"/>
          <w:color w:val="auto"/>
        </w:rPr>
        <w:t xml:space="preserve">issues </w:t>
      </w:r>
      <w:r w:rsidR="00D302EF">
        <w:rPr>
          <w:b w:val="0"/>
          <w:color w:val="auto"/>
        </w:rPr>
        <w:t xml:space="preserve">to progress the </w:t>
      </w:r>
      <w:r w:rsidR="00713D21">
        <w:rPr>
          <w:b w:val="0"/>
          <w:color w:val="auto"/>
        </w:rPr>
        <w:t>current delivery</w:t>
      </w:r>
      <w:r w:rsidR="009D1629">
        <w:rPr>
          <w:b w:val="0"/>
          <w:color w:val="auto"/>
        </w:rPr>
        <w:t xml:space="preserve"> programme. </w:t>
      </w:r>
      <w:r w:rsidR="00C650EC">
        <w:rPr>
          <w:b w:val="0"/>
          <w:color w:val="auto"/>
        </w:rPr>
        <w:t xml:space="preserve">  Last but not least, </w:t>
      </w:r>
      <w:r w:rsidR="009D1629">
        <w:rPr>
          <w:b w:val="0"/>
          <w:color w:val="auto"/>
        </w:rPr>
        <w:t>meeting our financial performance obligations to our shareholder and the Council’s Medium Term Financial Plan.</w:t>
      </w:r>
    </w:p>
    <w:p w:rsidR="009D1629" w:rsidRDefault="009D1629" w:rsidP="0003261B">
      <w:pPr>
        <w:rPr>
          <w:b w:val="0"/>
          <w:color w:val="auto"/>
        </w:rPr>
      </w:pPr>
    </w:p>
    <w:p w:rsidR="009D1629" w:rsidRDefault="009D1629" w:rsidP="0003261B">
      <w:pPr>
        <w:rPr>
          <w:b w:val="0"/>
          <w:color w:val="auto"/>
        </w:rPr>
      </w:pPr>
      <w:r>
        <w:rPr>
          <w:b w:val="0"/>
          <w:color w:val="auto"/>
        </w:rPr>
        <w:t>Through all this increased activity we have continued to ensure we review our plans an</w:t>
      </w:r>
      <w:r w:rsidR="00252AE3">
        <w:rPr>
          <w:b w:val="0"/>
          <w:color w:val="auto"/>
        </w:rPr>
        <w:t>d performance requirements so that we</w:t>
      </w:r>
      <w:r>
        <w:rPr>
          <w:b w:val="0"/>
          <w:color w:val="auto"/>
        </w:rPr>
        <w:t xml:space="preserve"> continually meet expectations</w:t>
      </w:r>
      <w:r w:rsidR="00C650EC">
        <w:rPr>
          <w:b w:val="0"/>
          <w:color w:val="auto"/>
        </w:rPr>
        <w:t xml:space="preserve"> with growing confidence and pace</w:t>
      </w:r>
      <w:r>
        <w:rPr>
          <w:b w:val="0"/>
          <w:color w:val="auto"/>
        </w:rPr>
        <w:t xml:space="preserve">. </w:t>
      </w:r>
      <w:r w:rsidR="008E1901">
        <w:rPr>
          <w:b w:val="0"/>
          <w:color w:val="auto"/>
        </w:rPr>
        <w:t xml:space="preserve">Whilst it’s fair to say all </w:t>
      </w:r>
      <w:r w:rsidR="00713D21">
        <w:rPr>
          <w:b w:val="0"/>
          <w:color w:val="auto"/>
        </w:rPr>
        <w:t>these challenges</w:t>
      </w:r>
      <w:r w:rsidR="00C650EC">
        <w:rPr>
          <w:b w:val="0"/>
          <w:color w:val="auto"/>
        </w:rPr>
        <w:t xml:space="preserve"> and national </w:t>
      </w:r>
      <w:r w:rsidR="008B5AFA">
        <w:rPr>
          <w:b w:val="0"/>
          <w:color w:val="auto"/>
        </w:rPr>
        <w:t xml:space="preserve">government interventions </w:t>
      </w:r>
      <w:r w:rsidR="008E1901">
        <w:rPr>
          <w:b w:val="0"/>
          <w:color w:val="auto"/>
        </w:rPr>
        <w:t>impact</w:t>
      </w:r>
      <w:r w:rsidR="00C650EC">
        <w:rPr>
          <w:b w:val="0"/>
          <w:color w:val="auto"/>
        </w:rPr>
        <w:t>ed</w:t>
      </w:r>
      <w:r w:rsidR="008E1901">
        <w:rPr>
          <w:b w:val="0"/>
          <w:color w:val="auto"/>
        </w:rPr>
        <w:t xml:space="preserve"> on </w:t>
      </w:r>
      <w:r w:rsidR="00C650EC">
        <w:rPr>
          <w:b w:val="0"/>
          <w:color w:val="auto"/>
        </w:rPr>
        <w:t xml:space="preserve">the immediate </w:t>
      </w:r>
      <w:r w:rsidR="008E1901">
        <w:rPr>
          <w:b w:val="0"/>
          <w:color w:val="auto"/>
        </w:rPr>
        <w:t xml:space="preserve">planned progress, </w:t>
      </w:r>
      <w:r>
        <w:rPr>
          <w:b w:val="0"/>
          <w:color w:val="auto"/>
        </w:rPr>
        <w:t xml:space="preserve">I’m </w:t>
      </w:r>
      <w:r w:rsidR="008E1901">
        <w:rPr>
          <w:b w:val="0"/>
          <w:color w:val="auto"/>
        </w:rPr>
        <w:t xml:space="preserve">nonetheless </w:t>
      </w:r>
      <w:r>
        <w:rPr>
          <w:b w:val="0"/>
          <w:color w:val="auto"/>
        </w:rPr>
        <w:t>pleased to say OCHL is still very much at the front and centre of influencing, enabling</w:t>
      </w:r>
      <w:r w:rsidR="00C650EC">
        <w:rPr>
          <w:b w:val="0"/>
          <w:color w:val="auto"/>
        </w:rPr>
        <w:t>, delivering and forward planning</w:t>
      </w:r>
      <w:r>
        <w:rPr>
          <w:b w:val="0"/>
          <w:color w:val="auto"/>
        </w:rPr>
        <w:t xml:space="preserve"> </w:t>
      </w:r>
      <w:r w:rsidR="00C650EC">
        <w:rPr>
          <w:b w:val="0"/>
          <w:color w:val="auto"/>
        </w:rPr>
        <w:t xml:space="preserve">key housing projects and programmes that </w:t>
      </w:r>
      <w:r>
        <w:rPr>
          <w:b w:val="0"/>
          <w:color w:val="auto"/>
        </w:rPr>
        <w:t xml:space="preserve">Oxford City residents desperately </w:t>
      </w:r>
      <w:r w:rsidR="008E1901">
        <w:rPr>
          <w:b w:val="0"/>
          <w:color w:val="auto"/>
        </w:rPr>
        <w:t xml:space="preserve">need and this is a role we cherish, respect and strive to </w:t>
      </w:r>
      <w:r w:rsidR="00C650EC">
        <w:rPr>
          <w:b w:val="0"/>
          <w:color w:val="auto"/>
        </w:rPr>
        <w:t>grow and to build upon.</w:t>
      </w:r>
    </w:p>
    <w:p w:rsidR="009D1629" w:rsidRDefault="009D1629" w:rsidP="0003261B">
      <w:pPr>
        <w:rPr>
          <w:b w:val="0"/>
          <w:color w:val="auto"/>
        </w:rPr>
      </w:pPr>
    </w:p>
    <w:p w:rsidR="009D1629" w:rsidRPr="009D1629" w:rsidRDefault="009D1629" w:rsidP="009D1629">
      <w:pPr>
        <w:pStyle w:val="Heading2"/>
        <w:rPr>
          <w:color w:val="005386"/>
        </w:rPr>
      </w:pPr>
      <w:r>
        <w:rPr>
          <w:color w:val="005386"/>
        </w:rPr>
        <w:t>Strengthening Organisational Capability</w:t>
      </w:r>
      <w:r w:rsidR="00255D60">
        <w:rPr>
          <w:color w:val="005386"/>
        </w:rPr>
        <w:t xml:space="preserve"> and Development</w:t>
      </w:r>
    </w:p>
    <w:p w:rsidR="009D1629" w:rsidRDefault="00255D60" w:rsidP="009D1629">
      <w:pPr>
        <w:rPr>
          <w:b w:val="0"/>
          <w:color w:val="auto"/>
        </w:rPr>
      </w:pPr>
      <w:r>
        <w:rPr>
          <w:b w:val="0"/>
          <w:color w:val="auto"/>
        </w:rPr>
        <w:t>A</w:t>
      </w:r>
      <w:r w:rsidR="009D1629">
        <w:rPr>
          <w:b w:val="0"/>
          <w:color w:val="auto"/>
        </w:rPr>
        <w:t>s we draw a line under 2018-19 we embark into the new financial year with OCHL’s place</w:t>
      </w:r>
      <w:r>
        <w:rPr>
          <w:b w:val="0"/>
          <w:color w:val="auto"/>
        </w:rPr>
        <w:t xml:space="preserve"> as a critical delivery vehicle for new housing in Oxford and beyond</w:t>
      </w:r>
      <w:r w:rsidR="002A3CE2">
        <w:rPr>
          <w:b w:val="0"/>
          <w:color w:val="auto"/>
        </w:rPr>
        <w:t>. F</w:t>
      </w:r>
      <w:r w:rsidR="00713D21">
        <w:rPr>
          <w:b w:val="0"/>
          <w:color w:val="auto"/>
        </w:rPr>
        <w:t>irmly</w:t>
      </w:r>
      <w:r>
        <w:rPr>
          <w:b w:val="0"/>
          <w:color w:val="auto"/>
        </w:rPr>
        <w:t xml:space="preserve"> </w:t>
      </w:r>
      <w:r w:rsidR="00713D21">
        <w:rPr>
          <w:b w:val="0"/>
          <w:color w:val="auto"/>
        </w:rPr>
        <w:t>established with</w:t>
      </w:r>
      <w:r w:rsidR="00E7254E">
        <w:rPr>
          <w:b w:val="0"/>
          <w:color w:val="auto"/>
        </w:rPr>
        <w:t xml:space="preserve"> </w:t>
      </w:r>
      <w:r>
        <w:rPr>
          <w:b w:val="0"/>
          <w:color w:val="auto"/>
        </w:rPr>
        <w:t xml:space="preserve">the act of making </w:t>
      </w:r>
      <w:r w:rsidR="009D1629">
        <w:rPr>
          <w:b w:val="0"/>
          <w:color w:val="auto"/>
        </w:rPr>
        <w:t>our first executive appointment</w:t>
      </w:r>
      <w:r w:rsidR="00E7254E">
        <w:rPr>
          <w:b w:val="0"/>
          <w:color w:val="auto"/>
        </w:rPr>
        <w:t xml:space="preserve">, namely Richard </w:t>
      </w:r>
      <w:r w:rsidR="00E7254E">
        <w:rPr>
          <w:b w:val="0"/>
          <w:color w:val="auto"/>
        </w:rPr>
        <w:lastRenderedPageBreak/>
        <w:t xml:space="preserve">Connolly as </w:t>
      </w:r>
      <w:r w:rsidR="002A3CE2">
        <w:rPr>
          <w:b w:val="0"/>
          <w:color w:val="auto"/>
        </w:rPr>
        <w:t xml:space="preserve">Interim </w:t>
      </w:r>
      <w:r>
        <w:rPr>
          <w:b w:val="0"/>
          <w:color w:val="auto"/>
        </w:rPr>
        <w:t>Managing Director</w:t>
      </w:r>
      <w:r w:rsidR="00E66CDC">
        <w:rPr>
          <w:b w:val="0"/>
          <w:color w:val="auto"/>
        </w:rPr>
        <w:t xml:space="preserve">, </w:t>
      </w:r>
      <w:r w:rsidR="004F2733">
        <w:rPr>
          <w:b w:val="0"/>
          <w:color w:val="auto"/>
        </w:rPr>
        <w:t xml:space="preserve">together with </w:t>
      </w:r>
      <w:r w:rsidR="00E66CDC">
        <w:rPr>
          <w:b w:val="0"/>
          <w:color w:val="auto"/>
        </w:rPr>
        <w:t>£9.5</w:t>
      </w:r>
      <w:r w:rsidR="009D1629">
        <w:rPr>
          <w:b w:val="0"/>
          <w:color w:val="auto"/>
        </w:rPr>
        <w:t xml:space="preserve">m of development contracts </w:t>
      </w:r>
      <w:r>
        <w:rPr>
          <w:b w:val="0"/>
          <w:color w:val="auto"/>
        </w:rPr>
        <w:t xml:space="preserve">being signed off </w:t>
      </w:r>
      <w:r w:rsidR="004F2733">
        <w:rPr>
          <w:b w:val="0"/>
          <w:color w:val="auto"/>
        </w:rPr>
        <w:t xml:space="preserve">just </w:t>
      </w:r>
      <w:r w:rsidR="008E7515">
        <w:rPr>
          <w:b w:val="0"/>
          <w:color w:val="auto"/>
        </w:rPr>
        <w:t xml:space="preserve">before the end of the financial year </w:t>
      </w:r>
      <w:r>
        <w:rPr>
          <w:b w:val="0"/>
          <w:color w:val="auto"/>
        </w:rPr>
        <w:t xml:space="preserve">and a continued confirmation of delivering financial returns for </w:t>
      </w:r>
      <w:r w:rsidR="006572D5">
        <w:rPr>
          <w:b w:val="0"/>
          <w:color w:val="auto"/>
        </w:rPr>
        <w:t>our shareholder.</w:t>
      </w:r>
    </w:p>
    <w:p w:rsidR="006572D5" w:rsidRDefault="006572D5" w:rsidP="009D1629">
      <w:pPr>
        <w:rPr>
          <w:b w:val="0"/>
          <w:color w:val="auto"/>
        </w:rPr>
      </w:pPr>
    </w:p>
    <w:p w:rsidR="00D824D1" w:rsidRPr="009D1629" w:rsidRDefault="00D824D1" w:rsidP="00D824D1">
      <w:pPr>
        <w:pStyle w:val="Heading2"/>
        <w:rPr>
          <w:color w:val="005386"/>
        </w:rPr>
      </w:pPr>
      <w:r>
        <w:rPr>
          <w:color w:val="005386"/>
        </w:rPr>
        <w:t>Clear Purpose</w:t>
      </w:r>
    </w:p>
    <w:p w:rsidR="006572D5" w:rsidRDefault="00D824D1" w:rsidP="00D824D1">
      <w:pPr>
        <w:rPr>
          <w:b w:val="0"/>
          <w:color w:val="auto"/>
        </w:rPr>
      </w:pPr>
      <w:r w:rsidRPr="00D824D1">
        <w:rPr>
          <w:b w:val="0"/>
          <w:color w:val="auto"/>
        </w:rPr>
        <w:t>Finally</w:t>
      </w:r>
      <w:r>
        <w:rPr>
          <w:b w:val="0"/>
          <w:color w:val="auto"/>
        </w:rPr>
        <w:t>, I think it is important for OCHL</w:t>
      </w:r>
      <w:r w:rsidRPr="00D824D1">
        <w:rPr>
          <w:b w:val="0"/>
          <w:color w:val="auto"/>
        </w:rPr>
        <w:t xml:space="preserve">’s success that we have a clear purpose – one that is strongly linked to </w:t>
      </w:r>
      <w:r w:rsidR="00594985">
        <w:rPr>
          <w:b w:val="0"/>
          <w:color w:val="auto"/>
        </w:rPr>
        <w:t>the city’s needs</w:t>
      </w:r>
      <w:r w:rsidRPr="00D824D1">
        <w:rPr>
          <w:b w:val="0"/>
          <w:color w:val="auto"/>
        </w:rPr>
        <w:t xml:space="preserve">. Our </w:t>
      </w:r>
      <w:r w:rsidR="00DC71B3">
        <w:rPr>
          <w:b w:val="0"/>
          <w:color w:val="auto"/>
        </w:rPr>
        <w:t xml:space="preserve">clear </w:t>
      </w:r>
      <w:r w:rsidRPr="00D824D1">
        <w:rPr>
          <w:b w:val="0"/>
          <w:color w:val="auto"/>
        </w:rPr>
        <w:t xml:space="preserve">purpose is to </w:t>
      </w:r>
      <w:r>
        <w:rPr>
          <w:b w:val="0"/>
          <w:color w:val="auto"/>
        </w:rPr>
        <w:t>deliver housing in Oxford</w:t>
      </w:r>
      <w:r w:rsidRPr="00D824D1">
        <w:rPr>
          <w:b w:val="0"/>
          <w:color w:val="auto"/>
        </w:rPr>
        <w:t xml:space="preserve"> to </w:t>
      </w:r>
      <w:r>
        <w:rPr>
          <w:b w:val="0"/>
          <w:color w:val="auto"/>
        </w:rPr>
        <w:t xml:space="preserve">ultimately </w:t>
      </w:r>
      <w:r w:rsidRPr="00D824D1">
        <w:rPr>
          <w:b w:val="0"/>
          <w:color w:val="auto"/>
        </w:rPr>
        <w:t xml:space="preserve">improve people’s lives. </w:t>
      </w:r>
      <w:r>
        <w:rPr>
          <w:b w:val="0"/>
          <w:color w:val="auto"/>
        </w:rPr>
        <w:t>Our city more than ever before needs significant numbers of new</w:t>
      </w:r>
      <w:r w:rsidRPr="00D824D1">
        <w:rPr>
          <w:b w:val="0"/>
          <w:color w:val="auto"/>
        </w:rPr>
        <w:t xml:space="preserve"> </w:t>
      </w:r>
      <w:r>
        <w:rPr>
          <w:b w:val="0"/>
          <w:color w:val="auto"/>
        </w:rPr>
        <w:t>affordable housing for the growth of the region to meet expectations over the next 5 to 10 years and beyond. To help meet these challenges</w:t>
      </w:r>
      <w:r w:rsidRPr="00D824D1">
        <w:rPr>
          <w:b w:val="0"/>
          <w:color w:val="auto"/>
        </w:rPr>
        <w:t xml:space="preserve"> we have to be financially strong and make sure we continue to be an attractive investment </w:t>
      </w:r>
      <w:r>
        <w:rPr>
          <w:b w:val="0"/>
          <w:color w:val="auto"/>
        </w:rPr>
        <w:t>and deliver on our performance obligations</w:t>
      </w:r>
      <w:r w:rsidRPr="00D824D1">
        <w:rPr>
          <w:b w:val="0"/>
          <w:color w:val="auto"/>
        </w:rPr>
        <w:t xml:space="preserve">. I look forward to working with </w:t>
      </w:r>
      <w:r>
        <w:rPr>
          <w:b w:val="0"/>
          <w:color w:val="auto"/>
        </w:rPr>
        <w:t>Richard and the existing team</w:t>
      </w:r>
      <w:r w:rsidRPr="00D824D1">
        <w:rPr>
          <w:b w:val="0"/>
          <w:color w:val="auto"/>
        </w:rPr>
        <w:t xml:space="preserve"> as we advance the </w:t>
      </w:r>
      <w:r w:rsidR="00CC1DD1">
        <w:rPr>
          <w:b w:val="0"/>
          <w:color w:val="auto"/>
        </w:rPr>
        <w:t>housing provision in the city,</w:t>
      </w:r>
      <w:r w:rsidRPr="00D824D1">
        <w:rPr>
          <w:b w:val="0"/>
          <w:color w:val="auto"/>
        </w:rPr>
        <w:t xml:space="preserve"> delivering through </w:t>
      </w:r>
      <w:r w:rsidR="00713D21" w:rsidRPr="00D824D1">
        <w:rPr>
          <w:b w:val="0"/>
          <w:color w:val="auto"/>
        </w:rPr>
        <w:t>our</w:t>
      </w:r>
      <w:r w:rsidR="00713D21">
        <w:rPr>
          <w:b w:val="0"/>
          <w:color w:val="auto"/>
        </w:rPr>
        <w:t xml:space="preserve"> </w:t>
      </w:r>
      <w:r w:rsidR="00713D21" w:rsidRPr="00D824D1">
        <w:rPr>
          <w:b w:val="0"/>
          <w:color w:val="auto"/>
        </w:rPr>
        <w:t>strategy</w:t>
      </w:r>
      <w:r w:rsidR="00DC71B3">
        <w:rPr>
          <w:b w:val="0"/>
          <w:color w:val="auto"/>
        </w:rPr>
        <w:t xml:space="preserve"> and emerging further growth plans</w:t>
      </w:r>
      <w:r w:rsidRPr="00D824D1">
        <w:rPr>
          <w:b w:val="0"/>
          <w:color w:val="auto"/>
        </w:rPr>
        <w:t xml:space="preserve">, guided by our values and inspired by our purpose. I also look forward to hearing from </w:t>
      </w:r>
      <w:r w:rsidR="00CC1DD1">
        <w:rPr>
          <w:b w:val="0"/>
          <w:color w:val="auto"/>
        </w:rPr>
        <w:t>our shareholder</w:t>
      </w:r>
      <w:r w:rsidRPr="00D824D1">
        <w:rPr>
          <w:b w:val="0"/>
          <w:color w:val="auto"/>
        </w:rPr>
        <w:t xml:space="preserve">, </w:t>
      </w:r>
      <w:r w:rsidR="00CC1DD1">
        <w:rPr>
          <w:b w:val="0"/>
          <w:color w:val="auto"/>
        </w:rPr>
        <w:t xml:space="preserve">understanding and delivering on your aspirations </w:t>
      </w:r>
      <w:r w:rsidRPr="00D824D1">
        <w:rPr>
          <w:b w:val="0"/>
          <w:color w:val="auto"/>
        </w:rPr>
        <w:t xml:space="preserve">and </w:t>
      </w:r>
      <w:r w:rsidR="00CC1DD1">
        <w:rPr>
          <w:b w:val="0"/>
          <w:color w:val="auto"/>
        </w:rPr>
        <w:t xml:space="preserve">continuing to </w:t>
      </w:r>
      <w:r w:rsidRPr="00D824D1">
        <w:rPr>
          <w:b w:val="0"/>
          <w:color w:val="auto"/>
        </w:rPr>
        <w:t>reward</w:t>
      </w:r>
      <w:r w:rsidR="00CC1DD1">
        <w:rPr>
          <w:b w:val="0"/>
          <w:color w:val="auto"/>
        </w:rPr>
        <w:t xml:space="preserve"> your trust and confidence in OCHL</w:t>
      </w:r>
      <w:r w:rsidRPr="00D824D1">
        <w:rPr>
          <w:b w:val="0"/>
          <w:color w:val="auto"/>
        </w:rPr>
        <w:t>.</w:t>
      </w:r>
    </w:p>
    <w:p w:rsidR="00CC1DD1" w:rsidRDefault="00CC1DD1" w:rsidP="00D824D1">
      <w:pPr>
        <w:rPr>
          <w:b w:val="0"/>
          <w:color w:val="auto"/>
        </w:rPr>
      </w:pPr>
    </w:p>
    <w:p w:rsidR="00CC1DD1" w:rsidRDefault="00CC1DD1" w:rsidP="00D824D1">
      <w:pPr>
        <w:rPr>
          <w:b w:val="0"/>
          <w:color w:val="auto"/>
        </w:rPr>
      </w:pPr>
    </w:p>
    <w:p w:rsidR="00CC1DD1" w:rsidRDefault="00CC1DD1" w:rsidP="00D824D1">
      <w:pPr>
        <w:rPr>
          <w:b w:val="0"/>
          <w:color w:val="auto"/>
        </w:rPr>
      </w:pPr>
    </w:p>
    <w:p w:rsidR="00CC1DD1" w:rsidRDefault="00CC1DD1" w:rsidP="00D824D1">
      <w:pPr>
        <w:rPr>
          <w:b w:val="0"/>
          <w:color w:val="auto"/>
        </w:rPr>
      </w:pPr>
    </w:p>
    <w:p w:rsidR="00CC1DD1" w:rsidRDefault="00CC1DD1" w:rsidP="00D824D1">
      <w:pPr>
        <w:rPr>
          <w:b w:val="0"/>
          <w:color w:val="auto"/>
        </w:rPr>
      </w:pPr>
    </w:p>
    <w:p w:rsidR="00CC1DD1" w:rsidRDefault="00CC1DD1" w:rsidP="00D824D1">
      <w:pPr>
        <w:rPr>
          <w:b w:val="0"/>
          <w:color w:val="auto"/>
        </w:rPr>
      </w:pPr>
      <w:r>
        <w:rPr>
          <w:b w:val="0"/>
          <w:color w:val="auto"/>
        </w:rPr>
        <w:t>Stephen Clarke</w:t>
      </w:r>
    </w:p>
    <w:p w:rsidR="00CC1DD1" w:rsidRDefault="00CC1DD1" w:rsidP="00D824D1">
      <w:pPr>
        <w:rPr>
          <w:b w:val="0"/>
          <w:color w:val="auto"/>
        </w:rPr>
      </w:pPr>
      <w:r>
        <w:rPr>
          <w:b w:val="0"/>
          <w:color w:val="auto"/>
        </w:rPr>
        <w:t>Chairman</w:t>
      </w:r>
    </w:p>
    <w:p w:rsidR="00CC1DD1" w:rsidRDefault="00CC1DD1" w:rsidP="00D824D1">
      <w:pPr>
        <w:rPr>
          <w:b w:val="0"/>
          <w:color w:val="auto"/>
        </w:rPr>
      </w:pPr>
      <w:r>
        <w:rPr>
          <w:b w:val="0"/>
          <w:color w:val="auto"/>
        </w:rPr>
        <w:t>April 2019</w:t>
      </w:r>
    </w:p>
    <w:p w:rsidR="00BB458E" w:rsidRDefault="00BB458E" w:rsidP="00D824D1">
      <w:pPr>
        <w:rPr>
          <w:b w:val="0"/>
          <w:color w:val="auto"/>
        </w:rPr>
      </w:pPr>
    </w:p>
    <w:p w:rsidR="00BB458E" w:rsidRDefault="00BB458E" w:rsidP="00D824D1">
      <w:pPr>
        <w:rPr>
          <w:b w:val="0"/>
          <w:color w:val="auto"/>
        </w:rPr>
      </w:pPr>
    </w:p>
    <w:p w:rsidR="00BB458E" w:rsidRDefault="00BB458E" w:rsidP="00D824D1">
      <w:pPr>
        <w:rPr>
          <w:b w:val="0"/>
          <w:color w:val="auto"/>
        </w:rPr>
      </w:pPr>
    </w:p>
    <w:p w:rsidR="00BB458E" w:rsidRPr="00673398" w:rsidRDefault="00BB458E" w:rsidP="00BB458E">
      <w:pPr>
        <w:pStyle w:val="Heading2"/>
        <w:rPr>
          <w:b/>
          <w:color w:val="005386"/>
        </w:rPr>
      </w:pPr>
      <w:r w:rsidRPr="00673398">
        <w:rPr>
          <w:b/>
          <w:color w:val="005386"/>
        </w:rPr>
        <w:lastRenderedPageBreak/>
        <w:t>A Volatile Year</w:t>
      </w:r>
    </w:p>
    <w:p w:rsidR="00673398" w:rsidRDefault="00673398" w:rsidP="00673398">
      <w:pPr>
        <w:pStyle w:val="Heading2"/>
        <w:rPr>
          <w:color w:val="005386"/>
        </w:rPr>
      </w:pPr>
      <w:r>
        <w:rPr>
          <w:color w:val="005386"/>
        </w:rPr>
        <w:t>Government Policy</w:t>
      </w:r>
    </w:p>
    <w:p w:rsidR="00673398" w:rsidRDefault="00673398" w:rsidP="00673398">
      <w:pPr>
        <w:rPr>
          <w:b w:val="0"/>
        </w:rPr>
      </w:pPr>
      <w:r>
        <w:rPr>
          <w:b w:val="0"/>
        </w:rPr>
        <w:t xml:space="preserve">Whilst it’s fair to say the Government may have </w:t>
      </w:r>
      <w:r w:rsidR="00C07301">
        <w:rPr>
          <w:b w:val="0"/>
        </w:rPr>
        <w:t>had to prioritise</w:t>
      </w:r>
      <w:r>
        <w:rPr>
          <w:b w:val="0"/>
        </w:rPr>
        <w:t xml:space="preserve"> its activities</w:t>
      </w:r>
      <w:r w:rsidR="00C07301">
        <w:rPr>
          <w:b w:val="0"/>
        </w:rPr>
        <w:t xml:space="preserve"> over the past 12 months, this has not prevented significant swings in previous Government held thinking with regards to the social housing agenda. One has to say most have been in the positive namely, eventual removal of the Housing Revenue Account (HRA) debt cap from firstly encouraging additional borrowing bids, additional SHG nationally for new initiatives, the Oxfordshire Growth Deal finally being signed off with resources for new additional social housing dwellings being released, consultation of greater flexibilities in the use of capital receipts (although outcome of revised proposals not as yet published) and certainty with rents, at least for the next 5 years at CPI + 1%.</w:t>
      </w:r>
    </w:p>
    <w:p w:rsidR="00C07301" w:rsidRDefault="00C07301" w:rsidP="00673398">
      <w:pPr>
        <w:rPr>
          <w:b w:val="0"/>
        </w:rPr>
      </w:pPr>
    </w:p>
    <w:p w:rsidR="00C07301" w:rsidRDefault="00C07301" w:rsidP="00673398">
      <w:pPr>
        <w:rPr>
          <w:b w:val="0"/>
        </w:rPr>
      </w:pPr>
      <w:r>
        <w:rPr>
          <w:b w:val="0"/>
        </w:rPr>
        <w:t>That said not all was good news</w:t>
      </w:r>
      <w:r w:rsidR="00AF6E85">
        <w:rPr>
          <w:b w:val="0"/>
        </w:rPr>
        <w:t xml:space="preserve"> for instance the</w:t>
      </w:r>
      <w:r w:rsidR="00EF3ECF">
        <w:rPr>
          <w:b w:val="0"/>
        </w:rPr>
        <w:t xml:space="preserve"> proposed move for local authority rents to be governed by the Social Housing Regulator (SHR). This has removed indefinitely the possibility of local authorities raising social rents to acceptable and Government approved higher levels, even for those on HB or UC. For Oxford City Council this has limited their HRA’s long term future financial strength that in turn could have financed additional borrowing for properties provided by OCHL.</w:t>
      </w:r>
    </w:p>
    <w:p w:rsidR="00EF3ECF" w:rsidRDefault="00EF3ECF" w:rsidP="00673398">
      <w:pPr>
        <w:rPr>
          <w:b w:val="0"/>
        </w:rPr>
      </w:pPr>
    </w:p>
    <w:p w:rsidR="00EF3ECF" w:rsidRDefault="00EF3ECF" w:rsidP="00EF3ECF">
      <w:pPr>
        <w:pStyle w:val="Heading2"/>
        <w:rPr>
          <w:color w:val="005386"/>
        </w:rPr>
      </w:pPr>
      <w:r>
        <w:rPr>
          <w:color w:val="005386"/>
        </w:rPr>
        <w:t>Local Housing Review</w:t>
      </w:r>
    </w:p>
    <w:p w:rsidR="00EF3ECF" w:rsidRDefault="00EF3ECF" w:rsidP="00EF3ECF">
      <w:pPr>
        <w:rPr>
          <w:b w:val="0"/>
        </w:rPr>
      </w:pPr>
      <w:r w:rsidRPr="00EF3ECF">
        <w:rPr>
          <w:b w:val="0"/>
        </w:rPr>
        <w:t>Such</w:t>
      </w:r>
      <w:r>
        <w:rPr>
          <w:b w:val="0"/>
        </w:rPr>
        <w:t xml:space="preserve"> were the changes happening nationally that it was only fair Oxford City Council reviewed its requirement generally for local housing companies per se. As such the Council commissioned an external assessment of i</w:t>
      </w:r>
      <w:r w:rsidR="009424D1">
        <w:rPr>
          <w:b w:val="0"/>
        </w:rPr>
        <w:t>ts housing agenda that extended</w:t>
      </w:r>
      <w:r>
        <w:rPr>
          <w:b w:val="0"/>
        </w:rPr>
        <w:t xml:space="preserve"> to </w:t>
      </w:r>
      <w:r w:rsidR="00BF1725">
        <w:rPr>
          <w:b w:val="0"/>
        </w:rPr>
        <w:t xml:space="preserve">reviewing </w:t>
      </w:r>
      <w:r>
        <w:rPr>
          <w:b w:val="0"/>
        </w:rPr>
        <w:t>planning performance, local land availability, partnership working and the regional economy and growth expectations. I’m pleased to say the conclusions identified a critical and continuing role for OCHL in meeting the expectations of the Council and its wider partnerships both now and for many years to come.</w:t>
      </w:r>
    </w:p>
    <w:p w:rsidR="00BD6252" w:rsidRDefault="00BD6252" w:rsidP="00EF3ECF">
      <w:pPr>
        <w:rPr>
          <w:b w:val="0"/>
        </w:rPr>
      </w:pPr>
    </w:p>
    <w:p w:rsidR="007249CD" w:rsidRDefault="00EF3ECF" w:rsidP="00EF3ECF">
      <w:pPr>
        <w:rPr>
          <w:b w:val="0"/>
        </w:rPr>
      </w:pPr>
      <w:r>
        <w:rPr>
          <w:b w:val="0"/>
        </w:rPr>
        <w:t>A new strategy</w:t>
      </w:r>
      <w:r w:rsidR="00F45F91">
        <w:rPr>
          <w:b w:val="0"/>
        </w:rPr>
        <w:t>,</w:t>
      </w:r>
      <w:r>
        <w:rPr>
          <w:b w:val="0"/>
        </w:rPr>
        <w:t xml:space="preserve"> </w:t>
      </w:r>
      <w:r w:rsidR="00F45F91">
        <w:rPr>
          <w:b w:val="0"/>
        </w:rPr>
        <w:t xml:space="preserve">progressing a more </w:t>
      </w:r>
      <w:r w:rsidR="00BE67DC">
        <w:rPr>
          <w:b w:val="0"/>
        </w:rPr>
        <w:t>dynamic</w:t>
      </w:r>
      <w:r w:rsidR="00BF1725">
        <w:rPr>
          <w:b w:val="0"/>
        </w:rPr>
        <w:t xml:space="preserve"> BP </w:t>
      </w:r>
      <w:r>
        <w:rPr>
          <w:b w:val="0"/>
        </w:rPr>
        <w:t xml:space="preserve">and significant </w:t>
      </w:r>
      <w:r w:rsidR="007249CD">
        <w:rPr>
          <w:b w:val="0"/>
        </w:rPr>
        <w:t xml:space="preserve">on-site </w:t>
      </w:r>
      <w:r>
        <w:rPr>
          <w:b w:val="0"/>
        </w:rPr>
        <w:t xml:space="preserve">progress </w:t>
      </w:r>
      <w:r w:rsidR="007249CD">
        <w:rPr>
          <w:b w:val="0"/>
        </w:rPr>
        <w:t>continues</w:t>
      </w:r>
      <w:r w:rsidR="00F45F91">
        <w:rPr>
          <w:b w:val="0"/>
        </w:rPr>
        <w:t>,</w:t>
      </w:r>
      <w:r w:rsidR="007249CD">
        <w:rPr>
          <w:b w:val="0"/>
        </w:rPr>
        <w:t xml:space="preserve"> as well as </w:t>
      </w:r>
      <w:r w:rsidR="00BF1725">
        <w:rPr>
          <w:b w:val="0"/>
        </w:rPr>
        <w:t xml:space="preserve">aspirations to </w:t>
      </w:r>
      <w:r w:rsidR="007249CD">
        <w:rPr>
          <w:b w:val="0"/>
        </w:rPr>
        <w:t>strengthen</w:t>
      </w:r>
      <w:r w:rsidR="00BF1725">
        <w:rPr>
          <w:b w:val="0"/>
        </w:rPr>
        <w:t xml:space="preserve"> and widen</w:t>
      </w:r>
      <w:r w:rsidR="007249CD">
        <w:rPr>
          <w:b w:val="0"/>
        </w:rPr>
        <w:t xml:space="preserve"> the </w:t>
      </w:r>
      <w:r w:rsidR="00BF1725">
        <w:rPr>
          <w:b w:val="0"/>
        </w:rPr>
        <w:t xml:space="preserve">experience, knowledge and </w:t>
      </w:r>
      <w:r>
        <w:rPr>
          <w:b w:val="0"/>
        </w:rPr>
        <w:t>capabilities</w:t>
      </w:r>
      <w:r w:rsidR="007249CD">
        <w:rPr>
          <w:b w:val="0"/>
        </w:rPr>
        <w:t xml:space="preserve"> of the company</w:t>
      </w:r>
      <w:r w:rsidR="00BF1725">
        <w:rPr>
          <w:b w:val="0"/>
        </w:rPr>
        <w:t>’s</w:t>
      </w:r>
      <w:r w:rsidR="007249CD">
        <w:rPr>
          <w:b w:val="0"/>
        </w:rPr>
        <w:t xml:space="preserve"> Board and Executive.</w:t>
      </w:r>
    </w:p>
    <w:p w:rsidR="00406AEA" w:rsidRDefault="00406AEA" w:rsidP="00BF1725">
      <w:pPr>
        <w:pStyle w:val="Heading2"/>
        <w:rPr>
          <w:b/>
          <w:color w:val="005386"/>
        </w:rPr>
        <w:sectPr w:rsidR="00406AEA" w:rsidSect="008A1473">
          <w:headerReference w:type="default" r:id="rId41"/>
          <w:footerReference w:type="default" r:id="rId42"/>
          <w:pgSz w:w="12240" w:h="15840"/>
          <w:pgMar w:top="720" w:right="1152" w:bottom="720" w:left="1152" w:header="0" w:footer="288" w:gutter="0"/>
          <w:pgNumType w:start="1"/>
          <w:cols w:space="720"/>
          <w:docGrid w:linePitch="382"/>
        </w:sectPr>
      </w:pPr>
    </w:p>
    <w:p w:rsidR="00406AEA" w:rsidRDefault="00BF1725">
      <w:pPr>
        <w:pStyle w:val="Heading2"/>
        <w:rPr>
          <w:b/>
          <w:color w:val="005386"/>
        </w:rPr>
      </w:pPr>
      <w:r>
        <w:rPr>
          <w:b/>
          <w:color w:val="005386"/>
        </w:rPr>
        <w:lastRenderedPageBreak/>
        <w:t>Our Strategy</w:t>
      </w:r>
    </w:p>
    <w:p w:rsidR="00406AEA" w:rsidRDefault="00406AEA" w:rsidP="00406AEA"/>
    <w:p w:rsidR="00406AEA" w:rsidRPr="00406AEA" w:rsidRDefault="0001742E" w:rsidP="00406AEA">
      <w:pPr>
        <w:sectPr w:rsidR="00406AEA" w:rsidRPr="00406AEA" w:rsidSect="00406AEA">
          <w:pgSz w:w="15840" w:h="12240" w:orient="landscape"/>
          <w:pgMar w:top="1151" w:right="720" w:bottom="1151" w:left="720" w:header="0" w:footer="289" w:gutter="0"/>
          <w:cols w:space="720"/>
          <w:docGrid w:linePitch="382"/>
        </w:sectPr>
      </w:pPr>
      <w:r w:rsidRPr="0001742E">
        <w:rPr>
          <w:noProof/>
          <w:lang w:eastAsia="en-GB"/>
        </w:rPr>
        <w:drawing>
          <wp:inline distT="0" distB="0" distL="0" distR="0" wp14:anchorId="431176D5" wp14:editId="344285D9">
            <wp:extent cx="9226550" cy="5189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264628" cy="5211354"/>
                    </a:xfrm>
                    <a:prstGeom prst="rect">
                      <a:avLst/>
                    </a:prstGeom>
                  </pic:spPr>
                </pic:pic>
              </a:graphicData>
            </a:graphic>
          </wp:inline>
        </w:drawing>
      </w:r>
    </w:p>
    <w:p w:rsidR="00CF1D47" w:rsidRDefault="00CF1D47" w:rsidP="00CF1D47">
      <w:pPr>
        <w:pStyle w:val="Heading2"/>
        <w:rPr>
          <w:color w:val="005386"/>
        </w:rPr>
      </w:pPr>
      <w:r>
        <w:rPr>
          <w:color w:val="005386"/>
        </w:rPr>
        <w:lastRenderedPageBreak/>
        <w:t>Strategic Review</w:t>
      </w:r>
    </w:p>
    <w:p w:rsidR="00BB458E" w:rsidRDefault="00CF1D47" w:rsidP="00CF1D47">
      <w:pPr>
        <w:rPr>
          <w:b w:val="0"/>
        </w:rPr>
      </w:pPr>
      <w:r>
        <w:rPr>
          <w:b w:val="0"/>
        </w:rPr>
        <w:t>The regeneration aspirations had been put on hold until suitable sites and schemes were identified and this continues to be the case. Barton acquisitions began towards the end of the 2018-19 financial year and the HRA transfer initiative has seen 10 units move across to OCHL during the first 3 years.</w:t>
      </w:r>
    </w:p>
    <w:p w:rsidR="00CF1D47" w:rsidRDefault="00CF1D47" w:rsidP="00CF1D47">
      <w:pPr>
        <w:rPr>
          <w:b w:val="0"/>
        </w:rPr>
      </w:pPr>
    </w:p>
    <w:p w:rsidR="00CF1D47" w:rsidRDefault="00CF1D47" w:rsidP="00CF1D47">
      <w:pPr>
        <w:rPr>
          <w:b w:val="0"/>
        </w:rPr>
      </w:pPr>
      <w:r>
        <w:rPr>
          <w:b w:val="0"/>
        </w:rPr>
        <w:t>The new borrowing powers afforded to Council’s under the reviews by Government over the past 12 months has resulted in the prospect of further transfers from the Council diminishing in future years, although potentially not completely as opportunities will still exist but confirmed on a scheme by scheme basis.</w:t>
      </w:r>
    </w:p>
    <w:p w:rsidR="00CF1D47" w:rsidRDefault="00CF1D47" w:rsidP="00CF1D47">
      <w:pPr>
        <w:rPr>
          <w:b w:val="0"/>
        </w:rPr>
      </w:pPr>
    </w:p>
    <w:p w:rsidR="00CF1D47" w:rsidRDefault="00213275" w:rsidP="00CF1D47">
      <w:pPr>
        <w:rPr>
          <w:b w:val="0"/>
        </w:rPr>
      </w:pPr>
      <w:r>
        <w:rPr>
          <w:b w:val="0"/>
        </w:rPr>
        <w:t>Going forward, b</w:t>
      </w:r>
      <w:r w:rsidR="00CF1D47">
        <w:rPr>
          <w:b w:val="0"/>
        </w:rPr>
        <w:t xml:space="preserve">y far the biggest change has been the movement away from managing the sub-market rented accommodation from the series of development schemes planned over the forthcoming years. Previously the company had planned to manage and maintain long term all the social rented, shared ownership and affordable rented properties from its development programme along with those acquired from Barton and the Council’s HRA. However, only those already transferred as at the end of 2018-19 from the Council and the </w:t>
      </w:r>
      <w:r w:rsidR="008C5291">
        <w:rPr>
          <w:b w:val="0"/>
          <w:color w:val="auto"/>
        </w:rPr>
        <w:t>354</w:t>
      </w:r>
      <w:r w:rsidR="00CF1D47">
        <w:rPr>
          <w:b w:val="0"/>
        </w:rPr>
        <w:t xml:space="preserve"> Barton acquisitions will be managed by OCHL. All other properties will be sold either via private sales or to the Council’s HRA</w:t>
      </w:r>
      <w:r w:rsidR="00173B8B">
        <w:rPr>
          <w:b w:val="0"/>
        </w:rPr>
        <w:t xml:space="preserve">, that is to say all social rented, affordable rented and shared ownership dwellings built by the company will now be bought by the Council’s HRA for them to be able to secure government grant, assist in the Oxfordshire Growth Deal, </w:t>
      </w:r>
      <w:r w:rsidR="00BD6252">
        <w:rPr>
          <w:b w:val="0"/>
        </w:rPr>
        <w:t xml:space="preserve">be </w:t>
      </w:r>
      <w:r w:rsidR="00173B8B">
        <w:rPr>
          <w:b w:val="0"/>
        </w:rPr>
        <w:t>manage</w:t>
      </w:r>
      <w:r w:rsidR="00BD6252">
        <w:rPr>
          <w:b w:val="0"/>
        </w:rPr>
        <w:t>d</w:t>
      </w:r>
      <w:r w:rsidR="00173B8B">
        <w:rPr>
          <w:b w:val="0"/>
        </w:rPr>
        <w:t xml:space="preserve"> as part of their normal housing stock and let at sub-market rents. The removal of the HRA debt cap allows this to now take place.</w:t>
      </w:r>
    </w:p>
    <w:p w:rsidR="00173B8B" w:rsidRDefault="00173B8B" w:rsidP="00CF1D47">
      <w:pPr>
        <w:rPr>
          <w:b w:val="0"/>
        </w:rPr>
      </w:pPr>
    </w:p>
    <w:p w:rsidR="00EF44E4" w:rsidRDefault="00173B8B" w:rsidP="00CF1D47">
      <w:pPr>
        <w:rPr>
          <w:b w:val="0"/>
        </w:rPr>
      </w:pPr>
      <w:r>
        <w:rPr>
          <w:b w:val="0"/>
        </w:rPr>
        <w:t>Thus, OCHL will continue to have a large amount of activity</w:t>
      </w:r>
      <w:r w:rsidR="00EF44E4">
        <w:rPr>
          <w:b w:val="0"/>
        </w:rPr>
        <w:t xml:space="preserve"> being undertaken in our </w:t>
      </w:r>
      <w:r w:rsidR="004100F0">
        <w:rPr>
          <w:b w:val="0"/>
        </w:rPr>
        <w:t>D</w:t>
      </w:r>
      <w:r>
        <w:rPr>
          <w:b w:val="0"/>
        </w:rPr>
        <w:t xml:space="preserve">evelopment </w:t>
      </w:r>
      <w:r w:rsidR="004100F0">
        <w:rPr>
          <w:b w:val="0"/>
        </w:rPr>
        <w:t xml:space="preserve">company </w:t>
      </w:r>
      <w:r>
        <w:rPr>
          <w:b w:val="0"/>
        </w:rPr>
        <w:t xml:space="preserve">subsidiary with only previously transferred HRA and </w:t>
      </w:r>
      <w:r w:rsidR="008A7FA9">
        <w:rPr>
          <w:b w:val="0"/>
        </w:rPr>
        <w:t xml:space="preserve">all current and future </w:t>
      </w:r>
      <w:r>
        <w:rPr>
          <w:b w:val="0"/>
        </w:rPr>
        <w:t xml:space="preserve">Barton dwellings to be managed within our </w:t>
      </w:r>
      <w:r w:rsidR="004100F0">
        <w:rPr>
          <w:b w:val="0"/>
        </w:rPr>
        <w:t>I</w:t>
      </w:r>
      <w:r>
        <w:rPr>
          <w:b w:val="0"/>
        </w:rPr>
        <w:t>nvestment</w:t>
      </w:r>
      <w:r w:rsidR="004100F0">
        <w:rPr>
          <w:b w:val="0"/>
        </w:rPr>
        <w:t xml:space="preserve"> company </w:t>
      </w:r>
      <w:r>
        <w:rPr>
          <w:b w:val="0"/>
        </w:rPr>
        <w:t>subsidiary.</w:t>
      </w:r>
    </w:p>
    <w:p w:rsidR="00EF44E4" w:rsidRDefault="00173B8B" w:rsidP="00CF1D47">
      <w:pPr>
        <w:rPr>
          <w:b w:val="0"/>
        </w:rPr>
      </w:pPr>
      <w:r>
        <w:rPr>
          <w:b w:val="0"/>
        </w:rPr>
        <w:lastRenderedPageBreak/>
        <w:t>The above changes in strategic outlook are now reflected in all subsequent scheme performance reports and in the long term BP projections.</w:t>
      </w:r>
      <w:r w:rsidR="002D0C5C">
        <w:rPr>
          <w:b w:val="0"/>
        </w:rPr>
        <w:t xml:space="preserve"> In the following table, all prop</w:t>
      </w:r>
      <w:r w:rsidR="0040322E">
        <w:rPr>
          <w:b w:val="0"/>
        </w:rPr>
        <w:t xml:space="preserve">erties are shown as Open </w:t>
      </w:r>
      <w:r w:rsidR="002D0C5C">
        <w:rPr>
          <w:b w:val="0"/>
        </w:rPr>
        <w:t>sale (OS) to reflec</w:t>
      </w:r>
      <w:r w:rsidR="0040322E">
        <w:rPr>
          <w:b w:val="0"/>
        </w:rPr>
        <w:t>t the strategic direction from the</w:t>
      </w:r>
      <w:r w:rsidR="002D0C5C">
        <w:rPr>
          <w:b w:val="0"/>
        </w:rPr>
        <w:t xml:space="preserve"> company</w:t>
      </w:r>
      <w:r w:rsidR="0040322E">
        <w:rPr>
          <w:b w:val="0"/>
        </w:rPr>
        <w:t>’s</w:t>
      </w:r>
      <w:r w:rsidR="002D0C5C">
        <w:rPr>
          <w:b w:val="0"/>
        </w:rPr>
        <w:t xml:space="preserve"> perspective. These homes are either (i) market housing to be sold on the open market or to the Council (as additionality) and (ii) the Section 106 Affordable housing to be sold to the Council.</w:t>
      </w: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160C5D" w:rsidRDefault="00160C5D" w:rsidP="00CF1D47">
      <w:pPr>
        <w:rPr>
          <w:b w:val="0"/>
        </w:rPr>
      </w:pPr>
    </w:p>
    <w:p w:rsidR="00944E11" w:rsidRDefault="008C5291" w:rsidP="00173B8B">
      <w:pPr>
        <w:pStyle w:val="Heading2"/>
        <w:rPr>
          <w:color w:val="005386"/>
        </w:rPr>
      </w:pPr>
      <w:r>
        <w:rPr>
          <w:color w:val="005386"/>
        </w:rPr>
        <w:lastRenderedPageBreak/>
        <w:t>Property Mix</w:t>
      </w:r>
    </w:p>
    <w:tbl>
      <w:tblPr>
        <w:tblStyle w:val="LightShading-Accent12"/>
        <w:tblpPr w:leftFromText="180" w:rightFromText="180" w:vertAnchor="page" w:horzAnchor="margin" w:tblpY="2281"/>
        <w:tblW w:w="14923" w:type="dxa"/>
        <w:tblLayout w:type="fixed"/>
        <w:tblLook w:val="04A0" w:firstRow="1" w:lastRow="0" w:firstColumn="1" w:lastColumn="0" w:noHBand="0" w:noVBand="1"/>
      </w:tblPr>
      <w:tblGrid>
        <w:gridCol w:w="2291"/>
        <w:gridCol w:w="835"/>
        <w:gridCol w:w="837"/>
        <w:gridCol w:w="837"/>
        <w:gridCol w:w="837"/>
        <w:gridCol w:w="843"/>
        <w:gridCol w:w="837"/>
        <w:gridCol w:w="837"/>
        <w:gridCol w:w="836"/>
        <w:gridCol w:w="837"/>
        <w:gridCol w:w="843"/>
        <w:gridCol w:w="932"/>
        <w:gridCol w:w="743"/>
        <w:gridCol w:w="837"/>
        <w:gridCol w:w="837"/>
        <w:gridCol w:w="904"/>
      </w:tblGrid>
      <w:tr w:rsidR="00C05799" w:rsidRPr="00650B90" w:rsidTr="00C0579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color w:val="000000"/>
                <w:sz w:val="24"/>
                <w:szCs w:val="24"/>
              </w:rPr>
            </w:pPr>
            <w:r w:rsidRPr="00650B90">
              <w:rPr>
                <w:rFonts w:ascii="Calibri" w:eastAsia="Calibri" w:hAnsi="Calibri"/>
                <w:color w:val="000000"/>
                <w:sz w:val="24"/>
                <w:szCs w:val="24"/>
              </w:rPr>
              <w:t>Activity</w:t>
            </w:r>
          </w:p>
        </w:tc>
        <w:tc>
          <w:tcPr>
            <w:tcW w:w="4189" w:type="dxa"/>
            <w:gridSpan w:val="5"/>
            <w:tcBorders>
              <w:left w:val="single" w:sz="8" w:space="0" w:color="4F81BD"/>
              <w:right w:val="single" w:sz="8" w:space="0" w:color="4F81BD"/>
            </w:tcBorders>
          </w:tcPr>
          <w:p w:rsidR="00C05799" w:rsidRPr="00650B90" w:rsidRDefault="00C05799" w:rsidP="00C05799">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Original (Feb 2017) BP Property Mix</w:t>
            </w:r>
          </w:p>
        </w:tc>
        <w:tc>
          <w:tcPr>
            <w:tcW w:w="4190" w:type="dxa"/>
            <w:gridSpan w:val="5"/>
            <w:tcBorders>
              <w:left w:val="single" w:sz="8" w:space="0" w:color="4F81BD"/>
              <w:right w:val="single" w:sz="8" w:space="0" w:color="4F81BD"/>
            </w:tcBorders>
          </w:tcPr>
          <w:p w:rsidR="00C05799" w:rsidRPr="00650B90" w:rsidRDefault="00C05799" w:rsidP="00C05799">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Revised (Feb 2019) BP Property Mix</w:t>
            </w:r>
          </w:p>
        </w:tc>
        <w:tc>
          <w:tcPr>
            <w:tcW w:w="4253" w:type="dxa"/>
            <w:gridSpan w:val="5"/>
            <w:tcBorders>
              <w:left w:val="single" w:sz="8" w:space="0" w:color="4F81BD"/>
              <w:right w:val="single" w:sz="8" w:space="0" w:color="4F81BD"/>
            </w:tcBorders>
          </w:tcPr>
          <w:p w:rsidR="00C05799" w:rsidRPr="00650B90" w:rsidRDefault="00C05799" w:rsidP="00C05799">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Movement in BP Property Mix</w:t>
            </w:r>
          </w:p>
        </w:tc>
      </w:tr>
      <w:tr w:rsidR="00C05799" w:rsidRPr="00650B90" w:rsidTr="00160C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color w:val="000000"/>
                <w:sz w:val="24"/>
                <w:szCs w:val="24"/>
                <w:u w:val="single"/>
              </w:rPr>
            </w:pPr>
          </w:p>
        </w:tc>
        <w:tc>
          <w:tcPr>
            <w:tcW w:w="835" w:type="dxa"/>
            <w:tcBorders>
              <w:top w:val="nil"/>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SR</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AR</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SO</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OS</w:t>
            </w:r>
          </w:p>
        </w:tc>
        <w:tc>
          <w:tcPr>
            <w:tcW w:w="843" w:type="dxa"/>
            <w:tcBorders>
              <w:top w:val="nil"/>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Total</w:t>
            </w:r>
          </w:p>
        </w:tc>
        <w:tc>
          <w:tcPr>
            <w:tcW w:w="837"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SR</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AR</w:t>
            </w:r>
          </w:p>
        </w:tc>
        <w:tc>
          <w:tcPr>
            <w:tcW w:w="836"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SO</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OS</w:t>
            </w:r>
          </w:p>
        </w:tc>
        <w:tc>
          <w:tcPr>
            <w:tcW w:w="843" w:type="dxa"/>
            <w:tcBorders>
              <w:top w:val="nil"/>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Total</w:t>
            </w:r>
          </w:p>
        </w:tc>
        <w:tc>
          <w:tcPr>
            <w:tcW w:w="932"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SR</w:t>
            </w:r>
          </w:p>
        </w:tc>
        <w:tc>
          <w:tcPr>
            <w:tcW w:w="743"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AR</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SO</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OS</w:t>
            </w:r>
          </w:p>
        </w:tc>
        <w:tc>
          <w:tcPr>
            <w:tcW w:w="904" w:type="dxa"/>
            <w:tcBorders>
              <w:top w:val="nil"/>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Total</w:t>
            </w:r>
          </w:p>
        </w:tc>
      </w:tr>
      <w:tr w:rsidR="00C05799" w:rsidRPr="00650B90" w:rsidTr="00160C5D">
        <w:trPr>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color w:val="000000"/>
                <w:sz w:val="24"/>
                <w:szCs w:val="24"/>
                <w:u w:val="single"/>
              </w:rPr>
            </w:pPr>
            <w:r w:rsidRPr="00650B90">
              <w:rPr>
                <w:rFonts w:ascii="Calibri" w:eastAsia="Calibri" w:hAnsi="Calibri"/>
                <w:color w:val="000000"/>
                <w:sz w:val="24"/>
                <w:szCs w:val="24"/>
                <w:u w:val="single"/>
              </w:rPr>
              <w:t>Barton</w:t>
            </w:r>
          </w:p>
        </w:tc>
        <w:tc>
          <w:tcPr>
            <w:tcW w:w="835"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6"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932"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743"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904"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r>
      <w:tr w:rsidR="00C05799" w:rsidRPr="00650B90" w:rsidTr="00403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Phase 1</w:t>
            </w:r>
          </w:p>
        </w:tc>
        <w:tc>
          <w:tcPr>
            <w:tcW w:w="835"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95</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95</w:t>
            </w:r>
          </w:p>
        </w:tc>
        <w:tc>
          <w:tcPr>
            <w:tcW w:w="837"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95</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95</w:t>
            </w:r>
          </w:p>
        </w:tc>
        <w:tc>
          <w:tcPr>
            <w:tcW w:w="932"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743"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904"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r>
      <w:tr w:rsidR="00C05799" w:rsidRPr="00650B90" w:rsidTr="0040322E">
        <w:trPr>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bottom w:val="single" w:sz="4" w:space="0" w:color="auto"/>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Phase 2</w:t>
            </w:r>
          </w:p>
        </w:tc>
        <w:tc>
          <w:tcPr>
            <w:tcW w:w="835" w:type="dxa"/>
            <w:tcBorders>
              <w:left w:val="single" w:sz="8" w:space="0" w:color="4F81BD"/>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259</w:t>
            </w:r>
          </w:p>
        </w:tc>
        <w:tc>
          <w:tcPr>
            <w:tcW w:w="837"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bottom w:val="single" w:sz="4" w:space="0" w:color="auto"/>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259</w:t>
            </w:r>
          </w:p>
        </w:tc>
        <w:tc>
          <w:tcPr>
            <w:tcW w:w="837" w:type="dxa"/>
            <w:tcBorders>
              <w:left w:val="single" w:sz="8" w:space="0" w:color="4F81BD"/>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259</w:t>
            </w:r>
          </w:p>
        </w:tc>
        <w:tc>
          <w:tcPr>
            <w:tcW w:w="837"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bottom w:val="single" w:sz="4" w:space="0" w:color="auto"/>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259</w:t>
            </w:r>
          </w:p>
        </w:tc>
        <w:tc>
          <w:tcPr>
            <w:tcW w:w="932" w:type="dxa"/>
            <w:tcBorders>
              <w:left w:val="single" w:sz="8" w:space="0" w:color="4F81BD"/>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743"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904" w:type="dxa"/>
            <w:tcBorders>
              <w:bottom w:val="single" w:sz="4" w:space="0" w:color="auto"/>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r>
      <w:tr w:rsidR="00C05799" w:rsidRPr="00650B90" w:rsidTr="004032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bottom w:val="single" w:sz="4" w:space="0" w:color="auto"/>
              <w:right w:val="single" w:sz="8" w:space="0" w:color="4F81BD"/>
            </w:tcBorders>
          </w:tcPr>
          <w:p w:rsidR="00C05799" w:rsidRPr="00650B90" w:rsidRDefault="00C05799" w:rsidP="00C05799">
            <w:pPr>
              <w:rPr>
                <w:rFonts w:ascii="Calibri" w:eastAsia="Calibri" w:hAnsi="Calibri"/>
                <w:i/>
                <w:color w:val="000000"/>
                <w:sz w:val="24"/>
                <w:szCs w:val="24"/>
              </w:rPr>
            </w:pPr>
            <w:r w:rsidRPr="00650B90">
              <w:rPr>
                <w:rFonts w:ascii="Calibri" w:eastAsia="Calibri" w:hAnsi="Calibri"/>
                <w:i/>
                <w:color w:val="000000"/>
                <w:sz w:val="24"/>
                <w:szCs w:val="24"/>
              </w:rPr>
              <w:t>Sub-Total</w:t>
            </w:r>
          </w:p>
        </w:tc>
        <w:tc>
          <w:tcPr>
            <w:tcW w:w="835" w:type="dxa"/>
            <w:tcBorders>
              <w:top w:val="single" w:sz="4" w:space="0" w:color="auto"/>
              <w:left w:val="single" w:sz="8" w:space="0" w:color="4F81BD"/>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354</w:t>
            </w:r>
          </w:p>
        </w:tc>
        <w:tc>
          <w:tcPr>
            <w:tcW w:w="837"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43" w:type="dxa"/>
            <w:tcBorders>
              <w:top w:val="single" w:sz="4" w:space="0" w:color="auto"/>
              <w:bottom w:val="single" w:sz="4" w:space="0" w:color="auto"/>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354</w:t>
            </w:r>
          </w:p>
        </w:tc>
        <w:tc>
          <w:tcPr>
            <w:tcW w:w="837" w:type="dxa"/>
            <w:tcBorders>
              <w:top w:val="single" w:sz="4" w:space="0" w:color="auto"/>
              <w:left w:val="single" w:sz="8" w:space="0" w:color="4F81BD"/>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354</w:t>
            </w:r>
          </w:p>
        </w:tc>
        <w:tc>
          <w:tcPr>
            <w:tcW w:w="837"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6"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43" w:type="dxa"/>
            <w:tcBorders>
              <w:top w:val="single" w:sz="4" w:space="0" w:color="auto"/>
              <w:bottom w:val="single" w:sz="4" w:space="0" w:color="auto"/>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354</w:t>
            </w:r>
          </w:p>
        </w:tc>
        <w:tc>
          <w:tcPr>
            <w:tcW w:w="932" w:type="dxa"/>
            <w:tcBorders>
              <w:top w:val="single" w:sz="4" w:space="0" w:color="auto"/>
              <w:left w:val="single" w:sz="8" w:space="0" w:color="4F81BD"/>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743"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904" w:type="dxa"/>
            <w:tcBorders>
              <w:top w:val="single" w:sz="4" w:space="0" w:color="auto"/>
              <w:bottom w:val="single" w:sz="4" w:space="0" w:color="auto"/>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r>
      <w:tr w:rsidR="00C05799" w:rsidRPr="00650B90" w:rsidTr="0040322E">
        <w:trPr>
          <w:trHeight w:val="268"/>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right w:val="single" w:sz="8" w:space="0" w:color="4F81BD"/>
            </w:tcBorders>
          </w:tcPr>
          <w:p w:rsidR="00C05799" w:rsidRPr="00650B90" w:rsidRDefault="00C05799" w:rsidP="00C05799">
            <w:pPr>
              <w:rPr>
                <w:rFonts w:ascii="Calibri" w:eastAsia="Calibri" w:hAnsi="Calibri"/>
                <w:color w:val="000000"/>
                <w:sz w:val="24"/>
                <w:szCs w:val="24"/>
                <w:u w:val="single"/>
              </w:rPr>
            </w:pPr>
            <w:r w:rsidRPr="00650B90">
              <w:rPr>
                <w:rFonts w:ascii="Calibri" w:eastAsia="Calibri" w:hAnsi="Calibri"/>
                <w:color w:val="000000"/>
                <w:sz w:val="24"/>
                <w:szCs w:val="24"/>
                <w:u w:val="single"/>
              </w:rPr>
              <w:t>Development</w:t>
            </w:r>
          </w:p>
        </w:tc>
        <w:tc>
          <w:tcPr>
            <w:tcW w:w="835" w:type="dxa"/>
            <w:tcBorders>
              <w:top w:val="single" w:sz="4" w:space="0" w:color="auto"/>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43" w:type="dxa"/>
            <w:tcBorders>
              <w:top w:val="single" w:sz="4" w:space="0" w:color="auto"/>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6"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43" w:type="dxa"/>
            <w:tcBorders>
              <w:top w:val="single" w:sz="4" w:space="0" w:color="auto"/>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932" w:type="dxa"/>
            <w:tcBorders>
              <w:top w:val="single" w:sz="4" w:space="0" w:color="auto"/>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743"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904" w:type="dxa"/>
            <w:tcBorders>
              <w:top w:val="single" w:sz="4" w:space="0" w:color="auto"/>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r>
      <w:tr w:rsidR="00C05799" w:rsidRPr="00650B90" w:rsidTr="00403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Cumberlege</w:t>
            </w:r>
          </w:p>
        </w:tc>
        <w:tc>
          <w:tcPr>
            <w:tcW w:w="835"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5</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6</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11</w:t>
            </w:r>
          </w:p>
        </w:tc>
        <w:tc>
          <w:tcPr>
            <w:tcW w:w="8443" w:type="dxa"/>
            <w:gridSpan w:val="10"/>
            <w:tcBorders>
              <w:left w:val="single" w:sz="8" w:space="0" w:color="4F81BD"/>
              <w:right w:val="single" w:sz="8" w:space="0" w:color="4F81BD"/>
            </w:tcBorders>
          </w:tcPr>
          <w:p w:rsidR="00C05799" w:rsidRPr="00650B90" w:rsidRDefault="00C05799" w:rsidP="00C0579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Cumberlege merged with Elsefield</w:t>
            </w:r>
          </w:p>
        </w:tc>
      </w:tr>
      <w:tr w:rsidR="00C05799" w:rsidRPr="00650B90" w:rsidTr="0040322E">
        <w:trPr>
          <w:trHeight w:val="277"/>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Elsefield</w:t>
            </w:r>
          </w:p>
        </w:tc>
        <w:tc>
          <w:tcPr>
            <w:tcW w:w="835"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7</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6</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17</w:t>
            </w:r>
          </w:p>
        </w:tc>
        <w:tc>
          <w:tcPr>
            <w:tcW w:w="837"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35</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35</w:t>
            </w:r>
          </w:p>
        </w:tc>
        <w:tc>
          <w:tcPr>
            <w:tcW w:w="932"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(12)</w:t>
            </w:r>
          </w:p>
        </w:tc>
        <w:tc>
          <w:tcPr>
            <w:tcW w:w="743"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29</w:t>
            </w:r>
          </w:p>
        </w:tc>
        <w:tc>
          <w:tcPr>
            <w:tcW w:w="904"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7</w:t>
            </w:r>
          </w:p>
        </w:tc>
      </w:tr>
      <w:tr w:rsidR="00C05799" w:rsidRPr="00650B90" w:rsidTr="00403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Harts Close</w:t>
            </w:r>
          </w:p>
        </w:tc>
        <w:tc>
          <w:tcPr>
            <w:tcW w:w="835"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w:t>
            </w:r>
          </w:p>
        </w:tc>
        <w:tc>
          <w:tcPr>
            <w:tcW w:w="837"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w:t>
            </w:r>
          </w:p>
        </w:tc>
        <w:tc>
          <w:tcPr>
            <w:tcW w:w="932"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743"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w:t>
            </w:r>
          </w:p>
        </w:tc>
        <w:tc>
          <w:tcPr>
            <w:tcW w:w="904"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r>
      <w:tr w:rsidR="00C05799" w:rsidRPr="00650B90" w:rsidTr="0040322E">
        <w:trPr>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Rose Hill</w:t>
            </w:r>
          </w:p>
        </w:tc>
        <w:tc>
          <w:tcPr>
            <w:tcW w:w="835"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16</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17</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9</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42</w:t>
            </w:r>
          </w:p>
        </w:tc>
        <w:tc>
          <w:tcPr>
            <w:tcW w:w="837"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43</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43</w:t>
            </w:r>
          </w:p>
        </w:tc>
        <w:tc>
          <w:tcPr>
            <w:tcW w:w="932"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(16)</w:t>
            </w:r>
          </w:p>
        </w:tc>
        <w:tc>
          <w:tcPr>
            <w:tcW w:w="743"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(17)</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(9)</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43</w:t>
            </w:r>
          </w:p>
        </w:tc>
        <w:tc>
          <w:tcPr>
            <w:tcW w:w="904"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w:t>
            </w:r>
          </w:p>
        </w:tc>
      </w:tr>
      <w:tr w:rsidR="00C05799" w:rsidRPr="00650B90" w:rsidTr="004032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Between Towns Road</w:t>
            </w:r>
          </w:p>
        </w:tc>
        <w:tc>
          <w:tcPr>
            <w:tcW w:w="835"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16</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5</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15</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40</w:t>
            </w:r>
          </w:p>
        </w:tc>
        <w:tc>
          <w:tcPr>
            <w:tcW w:w="837"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38</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38</w:t>
            </w:r>
          </w:p>
        </w:tc>
        <w:tc>
          <w:tcPr>
            <w:tcW w:w="932"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(16)</w:t>
            </w:r>
          </w:p>
        </w:tc>
        <w:tc>
          <w:tcPr>
            <w:tcW w:w="743"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(5)</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23</w:t>
            </w:r>
          </w:p>
        </w:tc>
        <w:tc>
          <w:tcPr>
            <w:tcW w:w="904"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w:t>
            </w:r>
          </w:p>
        </w:tc>
      </w:tr>
      <w:tr w:rsidR="00C05799" w:rsidRPr="00650B90" w:rsidTr="0040322E">
        <w:trPr>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Underhill Circus</w:t>
            </w:r>
          </w:p>
        </w:tc>
        <w:tc>
          <w:tcPr>
            <w:tcW w:w="835"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16</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21</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41</w:t>
            </w:r>
          </w:p>
        </w:tc>
        <w:tc>
          <w:tcPr>
            <w:tcW w:w="837"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37</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37</w:t>
            </w:r>
          </w:p>
        </w:tc>
        <w:tc>
          <w:tcPr>
            <w:tcW w:w="932"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(16)</w:t>
            </w:r>
          </w:p>
        </w:tc>
        <w:tc>
          <w:tcPr>
            <w:tcW w:w="743"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16</w:t>
            </w:r>
          </w:p>
        </w:tc>
        <w:tc>
          <w:tcPr>
            <w:tcW w:w="904"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(4)</w:t>
            </w:r>
          </w:p>
        </w:tc>
      </w:tr>
      <w:tr w:rsidR="00C05799" w:rsidRPr="00650B90" w:rsidTr="00403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Warren Crescent</w:t>
            </w:r>
          </w:p>
        </w:tc>
        <w:tc>
          <w:tcPr>
            <w:tcW w:w="835"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837"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843"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932" w:type="dxa"/>
            <w:tcBorders>
              <w:lef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743"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904" w:type="dxa"/>
            <w:tcBorders>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r>
      <w:tr w:rsidR="00C05799" w:rsidRPr="00650B90" w:rsidTr="0040322E">
        <w:trPr>
          <w:trHeight w:val="268"/>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Lucy Faithful House</w:t>
            </w:r>
          </w:p>
        </w:tc>
        <w:tc>
          <w:tcPr>
            <w:tcW w:w="835"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36</w:t>
            </w:r>
          </w:p>
        </w:tc>
        <w:tc>
          <w:tcPr>
            <w:tcW w:w="843"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36</w:t>
            </w:r>
          </w:p>
        </w:tc>
        <w:tc>
          <w:tcPr>
            <w:tcW w:w="932" w:type="dxa"/>
            <w:tcBorders>
              <w:lef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743"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36</w:t>
            </w:r>
          </w:p>
        </w:tc>
        <w:tc>
          <w:tcPr>
            <w:tcW w:w="904" w:type="dxa"/>
            <w:tcBorders>
              <w:right w:val="single" w:sz="8" w:space="0" w:color="4F81BD"/>
            </w:tcBorders>
          </w:tcPr>
          <w:p w:rsidR="00C05799" w:rsidRPr="00650B90" w:rsidRDefault="00C05799" w:rsidP="00C0579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36</w:t>
            </w:r>
          </w:p>
        </w:tc>
      </w:tr>
      <w:tr w:rsidR="00C05799" w:rsidRPr="00650B90" w:rsidTr="004032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bottom w:val="single" w:sz="4" w:space="0" w:color="auto"/>
              <w:right w:val="single" w:sz="8" w:space="0" w:color="4F81BD"/>
            </w:tcBorders>
          </w:tcPr>
          <w:p w:rsidR="00C05799" w:rsidRPr="00650B90" w:rsidRDefault="00C05799" w:rsidP="00C05799">
            <w:pPr>
              <w:rPr>
                <w:rFonts w:ascii="Calibri" w:eastAsia="Calibri" w:hAnsi="Calibri"/>
                <w:b/>
                <w:color w:val="000000"/>
                <w:sz w:val="24"/>
                <w:szCs w:val="24"/>
              </w:rPr>
            </w:pPr>
            <w:r w:rsidRPr="00650B90">
              <w:rPr>
                <w:rFonts w:ascii="Calibri" w:eastAsia="Calibri" w:hAnsi="Calibri"/>
                <w:b/>
                <w:color w:val="000000"/>
                <w:sz w:val="24"/>
                <w:szCs w:val="24"/>
              </w:rPr>
              <w:t>Edgecombe Drive</w:t>
            </w:r>
          </w:p>
        </w:tc>
        <w:tc>
          <w:tcPr>
            <w:tcW w:w="835" w:type="dxa"/>
            <w:tcBorders>
              <w:left w:val="single" w:sz="8" w:space="0" w:color="4F81BD"/>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43" w:type="dxa"/>
            <w:tcBorders>
              <w:bottom w:val="single" w:sz="4" w:space="0" w:color="auto"/>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Borders>
              <w:left w:val="single" w:sz="8" w:space="0" w:color="4F81BD"/>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7</w:t>
            </w:r>
          </w:p>
        </w:tc>
        <w:tc>
          <w:tcPr>
            <w:tcW w:w="843" w:type="dxa"/>
            <w:tcBorders>
              <w:bottom w:val="single" w:sz="4" w:space="0" w:color="auto"/>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7</w:t>
            </w:r>
          </w:p>
        </w:tc>
        <w:tc>
          <w:tcPr>
            <w:tcW w:w="932" w:type="dxa"/>
            <w:tcBorders>
              <w:left w:val="single" w:sz="8" w:space="0" w:color="4F81BD"/>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743"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7</w:t>
            </w:r>
          </w:p>
        </w:tc>
        <w:tc>
          <w:tcPr>
            <w:tcW w:w="904" w:type="dxa"/>
            <w:tcBorders>
              <w:bottom w:val="single" w:sz="4" w:space="0" w:color="auto"/>
              <w:right w:val="single" w:sz="8" w:space="0" w:color="4F81BD"/>
            </w:tcBorders>
          </w:tcPr>
          <w:p w:rsidR="00C05799" w:rsidRPr="00650B90" w:rsidRDefault="00C05799" w:rsidP="00C0579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7</w:t>
            </w:r>
          </w:p>
        </w:tc>
      </w:tr>
      <w:tr w:rsidR="00160C5D" w:rsidRPr="00650B90" w:rsidTr="0040322E">
        <w:trPr>
          <w:trHeight w:val="277"/>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bottom w:val="single" w:sz="4" w:space="0" w:color="auto"/>
              <w:right w:val="single" w:sz="8" w:space="0" w:color="4F81BD"/>
            </w:tcBorders>
          </w:tcPr>
          <w:p w:rsidR="00160C5D" w:rsidRPr="00650B90" w:rsidRDefault="00160C5D" w:rsidP="00160C5D">
            <w:pPr>
              <w:rPr>
                <w:rFonts w:ascii="Calibri" w:eastAsia="Calibri" w:hAnsi="Calibri"/>
                <w:b/>
                <w:color w:val="000000"/>
                <w:sz w:val="24"/>
                <w:szCs w:val="24"/>
              </w:rPr>
            </w:pPr>
            <w:r>
              <w:rPr>
                <w:rFonts w:ascii="Calibri" w:eastAsia="Calibri" w:hAnsi="Calibri"/>
                <w:b/>
                <w:color w:val="000000"/>
                <w:sz w:val="24"/>
                <w:szCs w:val="24"/>
              </w:rPr>
              <w:t>Bracegirdle, Mortimer, Broad Oak</w:t>
            </w:r>
          </w:p>
        </w:tc>
        <w:tc>
          <w:tcPr>
            <w:tcW w:w="835" w:type="dxa"/>
            <w:tcBorders>
              <w:left w:val="single" w:sz="8" w:space="0" w:color="4F81BD"/>
            </w:tcBorders>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43" w:type="dxa"/>
            <w:tcBorders>
              <w:right w:val="single" w:sz="8" w:space="0" w:color="4F81BD"/>
            </w:tcBorders>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n/a</w:t>
            </w:r>
          </w:p>
        </w:tc>
        <w:tc>
          <w:tcPr>
            <w:tcW w:w="837" w:type="dxa"/>
            <w:tcBorders>
              <w:left w:val="single" w:sz="8" w:space="0" w:color="4F81BD"/>
            </w:tcBorders>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Pr>
                <w:rFonts w:ascii="Calibri" w:eastAsia="Calibri" w:hAnsi="Calibri"/>
                <w:color w:val="000000"/>
                <w:sz w:val="24"/>
                <w:szCs w:val="24"/>
              </w:rPr>
              <w:t>8</w:t>
            </w:r>
          </w:p>
        </w:tc>
        <w:tc>
          <w:tcPr>
            <w:tcW w:w="843" w:type="dxa"/>
            <w:tcBorders>
              <w:right w:val="single" w:sz="8" w:space="0" w:color="4F81BD"/>
            </w:tcBorders>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Pr>
                <w:rFonts w:ascii="Calibri" w:eastAsia="Calibri" w:hAnsi="Calibri"/>
                <w:color w:val="000000"/>
                <w:sz w:val="24"/>
                <w:szCs w:val="24"/>
              </w:rPr>
              <w:t>8</w:t>
            </w:r>
          </w:p>
        </w:tc>
        <w:tc>
          <w:tcPr>
            <w:tcW w:w="932" w:type="dxa"/>
            <w:tcBorders>
              <w:left w:val="single" w:sz="8" w:space="0" w:color="4F81BD"/>
            </w:tcBorders>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743"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Pr>
                <w:rFonts w:ascii="Calibri" w:eastAsia="Calibri" w:hAnsi="Calibri"/>
                <w:color w:val="000000"/>
                <w:sz w:val="24"/>
                <w:szCs w:val="24"/>
              </w:rPr>
              <w:t>8</w:t>
            </w:r>
          </w:p>
        </w:tc>
        <w:tc>
          <w:tcPr>
            <w:tcW w:w="904" w:type="dxa"/>
            <w:tcBorders>
              <w:right w:val="single" w:sz="8" w:space="0" w:color="4F81BD"/>
            </w:tcBorders>
          </w:tcPr>
          <w:p w:rsidR="00160C5D"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r>
              <w:rPr>
                <w:rFonts w:ascii="Calibri" w:eastAsia="Calibri" w:hAnsi="Calibri"/>
                <w:color w:val="000000"/>
                <w:sz w:val="24"/>
                <w:szCs w:val="24"/>
              </w:rPr>
              <w:t>8</w:t>
            </w:r>
          </w:p>
        </w:tc>
      </w:tr>
      <w:tr w:rsidR="00160C5D" w:rsidRPr="00650B90" w:rsidTr="00160C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bottom w:val="single" w:sz="4" w:space="0" w:color="auto"/>
              <w:right w:val="single" w:sz="8" w:space="0" w:color="4F81BD"/>
            </w:tcBorders>
          </w:tcPr>
          <w:p w:rsidR="00160C5D" w:rsidRPr="00650B90" w:rsidRDefault="00160C5D" w:rsidP="00160C5D">
            <w:pPr>
              <w:rPr>
                <w:rFonts w:ascii="Calibri" w:eastAsia="Calibri" w:hAnsi="Calibri"/>
                <w:i/>
                <w:color w:val="000000"/>
                <w:sz w:val="24"/>
                <w:szCs w:val="24"/>
              </w:rPr>
            </w:pPr>
            <w:r w:rsidRPr="00650B90">
              <w:rPr>
                <w:rFonts w:ascii="Calibri" w:eastAsia="Calibri" w:hAnsi="Calibri"/>
                <w:i/>
                <w:color w:val="000000"/>
                <w:sz w:val="24"/>
                <w:szCs w:val="24"/>
              </w:rPr>
              <w:t>Sub-Total</w:t>
            </w:r>
          </w:p>
        </w:tc>
        <w:tc>
          <w:tcPr>
            <w:tcW w:w="835" w:type="dxa"/>
            <w:tcBorders>
              <w:top w:val="single" w:sz="4" w:space="0" w:color="auto"/>
              <w:left w:val="single" w:sz="8" w:space="0" w:color="4F81BD"/>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60</w:t>
            </w:r>
          </w:p>
        </w:tc>
        <w:tc>
          <w:tcPr>
            <w:tcW w:w="837"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46</w:t>
            </w:r>
          </w:p>
        </w:tc>
        <w:tc>
          <w:tcPr>
            <w:tcW w:w="837"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15</w:t>
            </w:r>
          </w:p>
        </w:tc>
        <w:tc>
          <w:tcPr>
            <w:tcW w:w="837"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42</w:t>
            </w:r>
          </w:p>
        </w:tc>
        <w:tc>
          <w:tcPr>
            <w:tcW w:w="843" w:type="dxa"/>
            <w:tcBorders>
              <w:top w:val="single" w:sz="4" w:space="0" w:color="auto"/>
              <w:bottom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163</w:t>
            </w:r>
          </w:p>
        </w:tc>
        <w:tc>
          <w:tcPr>
            <w:tcW w:w="837" w:type="dxa"/>
            <w:tcBorders>
              <w:top w:val="single" w:sz="4" w:space="0" w:color="auto"/>
              <w:left w:val="single" w:sz="8" w:space="0" w:color="4F81BD"/>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6"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Pr>
                <w:rFonts w:ascii="Calibri" w:eastAsia="Calibri" w:hAnsi="Calibri"/>
                <w:i/>
                <w:color w:val="000000"/>
                <w:sz w:val="24"/>
                <w:szCs w:val="24"/>
              </w:rPr>
              <w:t>216</w:t>
            </w:r>
          </w:p>
        </w:tc>
        <w:tc>
          <w:tcPr>
            <w:tcW w:w="843" w:type="dxa"/>
            <w:tcBorders>
              <w:top w:val="single" w:sz="4" w:space="0" w:color="auto"/>
              <w:bottom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Pr>
                <w:rFonts w:ascii="Calibri" w:eastAsia="Calibri" w:hAnsi="Calibri"/>
                <w:i/>
                <w:color w:val="000000"/>
                <w:sz w:val="24"/>
                <w:szCs w:val="24"/>
              </w:rPr>
              <w:t>216</w:t>
            </w:r>
          </w:p>
        </w:tc>
        <w:tc>
          <w:tcPr>
            <w:tcW w:w="932" w:type="dxa"/>
            <w:tcBorders>
              <w:top w:val="single" w:sz="4" w:space="0" w:color="auto"/>
              <w:left w:val="single" w:sz="8" w:space="0" w:color="4F81BD"/>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(60)</w:t>
            </w:r>
          </w:p>
        </w:tc>
        <w:tc>
          <w:tcPr>
            <w:tcW w:w="743"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(46)</w:t>
            </w:r>
          </w:p>
        </w:tc>
        <w:tc>
          <w:tcPr>
            <w:tcW w:w="837"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(15)</w:t>
            </w:r>
          </w:p>
        </w:tc>
        <w:tc>
          <w:tcPr>
            <w:tcW w:w="837" w:type="dxa"/>
            <w:tcBorders>
              <w:top w:val="single" w:sz="4" w:space="0" w:color="auto"/>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Pr>
                <w:rFonts w:ascii="Calibri" w:eastAsia="Calibri" w:hAnsi="Calibri"/>
                <w:i/>
                <w:color w:val="000000"/>
                <w:sz w:val="24"/>
                <w:szCs w:val="24"/>
              </w:rPr>
              <w:t>174</w:t>
            </w:r>
          </w:p>
        </w:tc>
        <w:tc>
          <w:tcPr>
            <w:tcW w:w="904" w:type="dxa"/>
            <w:tcBorders>
              <w:top w:val="single" w:sz="4" w:space="0" w:color="auto"/>
              <w:bottom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24"/>
                <w:szCs w:val="24"/>
              </w:rPr>
            </w:pPr>
            <w:r>
              <w:rPr>
                <w:rFonts w:ascii="Calibri" w:eastAsia="Calibri" w:hAnsi="Calibri"/>
                <w:i/>
                <w:color w:val="000000"/>
                <w:sz w:val="24"/>
                <w:szCs w:val="24"/>
              </w:rPr>
              <w:t>53</w:t>
            </w:r>
          </w:p>
        </w:tc>
      </w:tr>
      <w:tr w:rsidR="00160C5D" w:rsidRPr="00650B90" w:rsidTr="00160C5D">
        <w:trPr>
          <w:trHeight w:val="268"/>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right w:val="single" w:sz="8" w:space="0" w:color="4F81BD"/>
            </w:tcBorders>
          </w:tcPr>
          <w:p w:rsidR="00160C5D" w:rsidRPr="00650B90" w:rsidRDefault="00160C5D" w:rsidP="00160C5D">
            <w:pPr>
              <w:rPr>
                <w:rFonts w:ascii="Calibri" w:eastAsia="Calibri" w:hAnsi="Calibri"/>
                <w:color w:val="000000"/>
                <w:sz w:val="24"/>
                <w:szCs w:val="24"/>
                <w:u w:val="single"/>
              </w:rPr>
            </w:pPr>
            <w:r w:rsidRPr="00650B90">
              <w:rPr>
                <w:rFonts w:ascii="Calibri" w:eastAsia="Calibri" w:hAnsi="Calibri"/>
                <w:color w:val="000000"/>
                <w:sz w:val="24"/>
                <w:szCs w:val="24"/>
                <w:u w:val="single"/>
              </w:rPr>
              <w:t>HRA Acquisitions</w:t>
            </w:r>
          </w:p>
        </w:tc>
        <w:tc>
          <w:tcPr>
            <w:tcW w:w="835" w:type="dxa"/>
            <w:tcBorders>
              <w:top w:val="single" w:sz="4" w:space="0" w:color="auto"/>
              <w:lef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43" w:type="dxa"/>
            <w:tcBorders>
              <w:top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lef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6"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43" w:type="dxa"/>
            <w:tcBorders>
              <w:top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932" w:type="dxa"/>
            <w:tcBorders>
              <w:top w:val="single" w:sz="4" w:space="0" w:color="auto"/>
              <w:lef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743"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c>
          <w:tcPr>
            <w:tcW w:w="904" w:type="dxa"/>
            <w:tcBorders>
              <w:top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szCs w:val="24"/>
              </w:rPr>
            </w:pPr>
          </w:p>
        </w:tc>
      </w:tr>
      <w:tr w:rsidR="00160C5D" w:rsidRPr="00650B90" w:rsidTr="00160C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91" w:type="dxa"/>
            <w:tcBorders>
              <w:left w:val="single" w:sz="8" w:space="0" w:color="4F81BD"/>
              <w:bottom w:val="single" w:sz="4" w:space="0" w:color="auto"/>
              <w:right w:val="single" w:sz="8" w:space="0" w:color="4F81BD"/>
            </w:tcBorders>
          </w:tcPr>
          <w:p w:rsidR="00160C5D" w:rsidRPr="00650B90" w:rsidRDefault="00160C5D" w:rsidP="00160C5D">
            <w:pPr>
              <w:rPr>
                <w:rFonts w:ascii="Calibri" w:eastAsia="Calibri" w:hAnsi="Calibri"/>
                <w:b/>
                <w:color w:val="000000"/>
                <w:sz w:val="24"/>
                <w:szCs w:val="24"/>
              </w:rPr>
            </w:pPr>
            <w:r w:rsidRPr="00650B90">
              <w:rPr>
                <w:rFonts w:ascii="Calibri" w:eastAsia="Calibri" w:hAnsi="Calibri"/>
                <w:b/>
                <w:color w:val="000000"/>
                <w:sz w:val="24"/>
                <w:szCs w:val="24"/>
              </w:rPr>
              <w:t>Combined Schemes</w:t>
            </w:r>
          </w:p>
        </w:tc>
        <w:tc>
          <w:tcPr>
            <w:tcW w:w="835" w:type="dxa"/>
            <w:tcBorders>
              <w:left w:val="single" w:sz="8" w:space="0" w:color="4F81BD"/>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200</w:t>
            </w:r>
          </w:p>
        </w:tc>
        <w:tc>
          <w:tcPr>
            <w:tcW w:w="837"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bottom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200</w:t>
            </w:r>
          </w:p>
        </w:tc>
        <w:tc>
          <w:tcPr>
            <w:tcW w:w="837" w:type="dxa"/>
            <w:tcBorders>
              <w:left w:val="single" w:sz="8" w:space="0" w:color="4F81BD"/>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837"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6"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43" w:type="dxa"/>
            <w:tcBorders>
              <w:bottom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10</w:t>
            </w:r>
          </w:p>
        </w:tc>
        <w:tc>
          <w:tcPr>
            <w:tcW w:w="932" w:type="dxa"/>
            <w:tcBorders>
              <w:left w:val="single" w:sz="8" w:space="0" w:color="4F81BD"/>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(190)</w:t>
            </w:r>
          </w:p>
        </w:tc>
        <w:tc>
          <w:tcPr>
            <w:tcW w:w="743"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837" w:type="dxa"/>
            <w:tcBorders>
              <w:bottom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w:t>
            </w:r>
          </w:p>
        </w:tc>
        <w:tc>
          <w:tcPr>
            <w:tcW w:w="904" w:type="dxa"/>
            <w:tcBorders>
              <w:bottom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r w:rsidRPr="00650B90">
              <w:rPr>
                <w:rFonts w:ascii="Calibri" w:eastAsia="Calibri" w:hAnsi="Calibri"/>
                <w:color w:val="000000"/>
                <w:sz w:val="24"/>
                <w:szCs w:val="24"/>
              </w:rPr>
              <w:t>(190)</w:t>
            </w:r>
          </w:p>
        </w:tc>
      </w:tr>
      <w:tr w:rsidR="00160C5D" w:rsidRPr="00650B90" w:rsidTr="00160C5D">
        <w:trPr>
          <w:trHeight w:val="268"/>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bottom w:val="single" w:sz="4" w:space="0" w:color="auto"/>
              <w:right w:val="single" w:sz="8" w:space="0" w:color="4F81BD"/>
            </w:tcBorders>
          </w:tcPr>
          <w:p w:rsidR="00160C5D" w:rsidRPr="00650B90" w:rsidRDefault="00160C5D" w:rsidP="00160C5D">
            <w:pPr>
              <w:rPr>
                <w:rFonts w:ascii="Calibri" w:eastAsia="Calibri" w:hAnsi="Calibri"/>
                <w:i/>
                <w:color w:val="000000"/>
                <w:sz w:val="24"/>
                <w:szCs w:val="24"/>
              </w:rPr>
            </w:pPr>
            <w:r w:rsidRPr="00650B90">
              <w:rPr>
                <w:rFonts w:ascii="Calibri" w:eastAsia="Calibri" w:hAnsi="Calibri"/>
                <w:i/>
                <w:color w:val="000000"/>
                <w:sz w:val="24"/>
                <w:szCs w:val="24"/>
              </w:rPr>
              <w:t>Sub-Total</w:t>
            </w:r>
          </w:p>
        </w:tc>
        <w:tc>
          <w:tcPr>
            <w:tcW w:w="835" w:type="dxa"/>
            <w:tcBorders>
              <w:top w:val="single" w:sz="4" w:space="0" w:color="auto"/>
              <w:left w:val="single" w:sz="8" w:space="0" w:color="4F81BD"/>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200</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43" w:type="dxa"/>
            <w:tcBorders>
              <w:top w:val="single" w:sz="4" w:space="0" w:color="auto"/>
              <w:bottom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200</w:t>
            </w:r>
          </w:p>
        </w:tc>
        <w:tc>
          <w:tcPr>
            <w:tcW w:w="837" w:type="dxa"/>
            <w:tcBorders>
              <w:top w:val="single" w:sz="4" w:space="0" w:color="auto"/>
              <w:left w:val="single" w:sz="8" w:space="0" w:color="4F81BD"/>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10</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6"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43" w:type="dxa"/>
            <w:tcBorders>
              <w:top w:val="single" w:sz="4" w:space="0" w:color="auto"/>
              <w:bottom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10</w:t>
            </w:r>
          </w:p>
        </w:tc>
        <w:tc>
          <w:tcPr>
            <w:tcW w:w="932" w:type="dxa"/>
            <w:tcBorders>
              <w:top w:val="single" w:sz="4" w:space="0" w:color="auto"/>
              <w:left w:val="single" w:sz="8" w:space="0" w:color="4F81BD"/>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(190)</w:t>
            </w:r>
          </w:p>
        </w:tc>
        <w:tc>
          <w:tcPr>
            <w:tcW w:w="743"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w:t>
            </w:r>
          </w:p>
        </w:tc>
        <w:tc>
          <w:tcPr>
            <w:tcW w:w="904" w:type="dxa"/>
            <w:tcBorders>
              <w:top w:val="single" w:sz="4" w:space="0" w:color="auto"/>
              <w:bottom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24"/>
                <w:szCs w:val="24"/>
              </w:rPr>
            </w:pPr>
            <w:r w:rsidRPr="00650B90">
              <w:rPr>
                <w:rFonts w:ascii="Calibri" w:eastAsia="Calibri" w:hAnsi="Calibri"/>
                <w:i/>
                <w:color w:val="000000"/>
                <w:sz w:val="24"/>
                <w:szCs w:val="24"/>
              </w:rPr>
              <w:t>(190)</w:t>
            </w:r>
          </w:p>
        </w:tc>
      </w:tr>
      <w:tr w:rsidR="00160C5D" w:rsidRPr="00650B90" w:rsidTr="00160C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right w:val="single" w:sz="8" w:space="0" w:color="4F81BD"/>
            </w:tcBorders>
          </w:tcPr>
          <w:p w:rsidR="00160C5D" w:rsidRPr="00650B90" w:rsidRDefault="00160C5D" w:rsidP="00160C5D">
            <w:pPr>
              <w:rPr>
                <w:rFonts w:ascii="Calibri" w:eastAsia="Calibri" w:hAnsi="Calibri"/>
                <w:i/>
                <w:color w:val="000000"/>
                <w:sz w:val="24"/>
                <w:szCs w:val="24"/>
              </w:rPr>
            </w:pPr>
          </w:p>
        </w:tc>
        <w:tc>
          <w:tcPr>
            <w:tcW w:w="835" w:type="dxa"/>
            <w:tcBorders>
              <w:top w:val="single" w:sz="4" w:space="0" w:color="auto"/>
              <w:lef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43" w:type="dxa"/>
            <w:tcBorders>
              <w:top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lef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6"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43" w:type="dxa"/>
            <w:tcBorders>
              <w:top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932" w:type="dxa"/>
            <w:tcBorders>
              <w:top w:val="single" w:sz="4" w:space="0" w:color="auto"/>
              <w:lef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743"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c>
          <w:tcPr>
            <w:tcW w:w="904" w:type="dxa"/>
            <w:tcBorders>
              <w:top w:val="single" w:sz="4" w:space="0" w:color="auto"/>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szCs w:val="24"/>
              </w:rPr>
            </w:pPr>
          </w:p>
        </w:tc>
      </w:tr>
      <w:tr w:rsidR="00160C5D" w:rsidRPr="00650B90" w:rsidTr="00160C5D">
        <w:trPr>
          <w:trHeight w:val="361"/>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bottom w:val="single" w:sz="4" w:space="0" w:color="auto"/>
              <w:right w:val="single" w:sz="8" w:space="0" w:color="4F81BD"/>
            </w:tcBorders>
          </w:tcPr>
          <w:p w:rsidR="00160C5D" w:rsidRPr="00650B90" w:rsidRDefault="00160C5D" w:rsidP="00160C5D">
            <w:pPr>
              <w:rPr>
                <w:rFonts w:ascii="Calibri" w:eastAsia="Calibri" w:hAnsi="Calibri"/>
                <w:color w:val="000000"/>
                <w:sz w:val="32"/>
                <w:szCs w:val="32"/>
              </w:rPr>
            </w:pPr>
            <w:r w:rsidRPr="00650B90">
              <w:rPr>
                <w:rFonts w:ascii="Calibri" w:eastAsia="Calibri" w:hAnsi="Calibri"/>
                <w:color w:val="000000"/>
                <w:sz w:val="32"/>
                <w:szCs w:val="32"/>
              </w:rPr>
              <w:t>TOTAL</w:t>
            </w:r>
          </w:p>
        </w:tc>
        <w:tc>
          <w:tcPr>
            <w:tcW w:w="835" w:type="dxa"/>
            <w:tcBorders>
              <w:top w:val="single" w:sz="4" w:space="0" w:color="auto"/>
              <w:left w:val="single" w:sz="8" w:space="0" w:color="4F81BD"/>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614</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46</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15</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42</w:t>
            </w:r>
          </w:p>
        </w:tc>
        <w:tc>
          <w:tcPr>
            <w:tcW w:w="843" w:type="dxa"/>
            <w:tcBorders>
              <w:top w:val="single" w:sz="4" w:space="0" w:color="auto"/>
              <w:bottom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717</w:t>
            </w:r>
          </w:p>
        </w:tc>
        <w:tc>
          <w:tcPr>
            <w:tcW w:w="837" w:type="dxa"/>
            <w:tcBorders>
              <w:top w:val="single" w:sz="4" w:space="0" w:color="auto"/>
              <w:left w:val="single" w:sz="8" w:space="0" w:color="4F81BD"/>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364</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w:t>
            </w:r>
          </w:p>
        </w:tc>
        <w:tc>
          <w:tcPr>
            <w:tcW w:w="836"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Pr>
                <w:rFonts w:ascii="Calibri" w:eastAsia="Calibri" w:hAnsi="Calibri"/>
                <w:i/>
                <w:color w:val="000000"/>
                <w:sz w:val="32"/>
                <w:szCs w:val="32"/>
              </w:rPr>
              <w:t>216</w:t>
            </w:r>
          </w:p>
        </w:tc>
        <w:tc>
          <w:tcPr>
            <w:tcW w:w="843" w:type="dxa"/>
            <w:tcBorders>
              <w:top w:val="single" w:sz="4" w:space="0" w:color="auto"/>
              <w:bottom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Pr>
                <w:rFonts w:ascii="Calibri" w:eastAsia="Calibri" w:hAnsi="Calibri"/>
                <w:i/>
                <w:color w:val="000000"/>
                <w:sz w:val="32"/>
                <w:szCs w:val="32"/>
              </w:rPr>
              <w:t>580</w:t>
            </w:r>
          </w:p>
        </w:tc>
        <w:tc>
          <w:tcPr>
            <w:tcW w:w="932" w:type="dxa"/>
            <w:tcBorders>
              <w:top w:val="single" w:sz="4" w:space="0" w:color="auto"/>
              <w:left w:val="single" w:sz="8" w:space="0" w:color="4F81BD"/>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(250)</w:t>
            </w:r>
          </w:p>
        </w:tc>
        <w:tc>
          <w:tcPr>
            <w:tcW w:w="743"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(46)</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(15)</w:t>
            </w:r>
          </w:p>
        </w:tc>
        <w:tc>
          <w:tcPr>
            <w:tcW w:w="837" w:type="dxa"/>
            <w:tcBorders>
              <w:top w:val="single" w:sz="4" w:space="0" w:color="auto"/>
              <w:bottom w:val="single" w:sz="4" w:space="0" w:color="auto"/>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Pr>
                <w:rFonts w:ascii="Calibri" w:eastAsia="Calibri" w:hAnsi="Calibri"/>
                <w:i/>
                <w:color w:val="000000"/>
                <w:sz w:val="32"/>
                <w:szCs w:val="32"/>
              </w:rPr>
              <w:t>174</w:t>
            </w:r>
          </w:p>
        </w:tc>
        <w:tc>
          <w:tcPr>
            <w:tcW w:w="904" w:type="dxa"/>
            <w:tcBorders>
              <w:top w:val="single" w:sz="4" w:space="0" w:color="auto"/>
              <w:bottom w:val="single" w:sz="4" w:space="0" w:color="auto"/>
              <w:right w:val="single" w:sz="8" w:space="0" w:color="4F81BD"/>
            </w:tcBorders>
          </w:tcPr>
          <w:p w:rsidR="00160C5D" w:rsidRPr="00650B90" w:rsidRDefault="00160C5D" w:rsidP="00160C5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i/>
                <w:color w:val="000000"/>
                <w:sz w:val="32"/>
                <w:szCs w:val="32"/>
              </w:rPr>
            </w:pPr>
            <w:r>
              <w:rPr>
                <w:rFonts w:ascii="Calibri" w:eastAsia="Calibri" w:hAnsi="Calibri"/>
                <w:i/>
                <w:color w:val="000000"/>
                <w:sz w:val="32"/>
                <w:szCs w:val="32"/>
              </w:rPr>
              <w:t>(137</w:t>
            </w:r>
            <w:r w:rsidRPr="00650B90">
              <w:rPr>
                <w:rFonts w:ascii="Calibri" w:eastAsia="Calibri" w:hAnsi="Calibri"/>
                <w:i/>
                <w:color w:val="000000"/>
                <w:sz w:val="32"/>
                <w:szCs w:val="32"/>
              </w:rPr>
              <w:t>)</w:t>
            </w:r>
          </w:p>
        </w:tc>
      </w:tr>
      <w:tr w:rsidR="00160C5D" w:rsidRPr="00650B90" w:rsidTr="00160C5D">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8" w:space="0" w:color="4F81BD"/>
              <w:bottom w:val="single" w:sz="8" w:space="0" w:color="4F81BD"/>
              <w:right w:val="single" w:sz="8" w:space="0" w:color="4F81BD"/>
            </w:tcBorders>
          </w:tcPr>
          <w:p w:rsidR="00160C5D" w:rsidRPr="00650B90" w:rsidRDefault="00160C5D" w:rsidP="00160C5D">
            <w:pPr>
              <w:rPr>
                <w:rFonts w:ascii="Calibri" w:eastAsia="Calibri" w:hAnsi="Calibri"/>
                <w:color w:val="000000"/>
                <w:sz w:val="32"/>
                <w:szCs w:val="32"/>
              </w:rPr>
            </w:pPr>
            <w:r w:rsidRPr="00650B90">
              <w:rPr>
                <w:rFonts w:ascii="Calibri" w:eastAsia="Calibri" w:hAnsi="Calibri"/>
                <w:color w:val="000000"/>
                <w:sz w:val="32"/>
                <w:szCs w:val="32"/>
              </w:rPr>
              <w:t>TOTAL (%)</w:t>
            </w:r>
          </w:p>
        </w:tc>
        <w:tc>
          <w:tcPr>
            <w:tcW w:w="835" w:type="dxa"/>
            <w:tcBorders>
              <w:top w:val="single" w:sz="4" w:space="0" w:color="auto"/>
              <w:left w:val="single" w:sz="8" w:space="0" w:color="4F81BD"/>
              <w:bottom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85.6</w:t>
            </w: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6.4</w:t>
            </w: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2.1</w:t>
            </w: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5.9</w:t>
            </w:r>
          </w:p>
        </w:tc>
        <w:tc>
          <w:tcPr>
            <w:tcW w:w="843" w:type="dxa"/>
            <w:tcBorders>
              <w:top w:val="single" w:sz="4" w:space="0" w:color="auto"/>
              <w:bottom w:val="single" w:sz="8" w:space="0" w:color="4F81BD"/>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100</w:t>
            </w:r>
          </w:p>
        </w:tc>
        <w:tc>
          <w:tcPr>
            <w:tcW w:w="837" w:type="dxa"/>
            <w:tcBorders>
              <w:top w:val="single" w:sz="4" w:space="0" w:color="auto"/>
              <w:lef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Pr>
                <w:rFonts w:ascii="Calibri" w:eastAsia="Calibri" w:hAnsi="Calibri"/>
                <w:i/>
                <w:color w:val="000000"/>
                <w:sz w:val="32"/>
                <w:szCs w:val="32"/>
              </w:rPr>
              <w:t>62.8</w:t>
            </w: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0.0</w:t>
            </w:r>
          </w:p>
        </w:tc>
        <w:tc>
          <w:tcPr>
            <w:tcW w:w="836"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40.0</w:t>
            </w: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Pr>
                <w:rFonts w:ascii="Calibri" w:eastAsia="Calibri" w:hAnsi="Calibri"/>
                <w:i/>
                <w:color w:val="000000"/>
                <w:sz w:val="32"/>
                <w:szCs w:val="32"/>
              </w:rPr>
              <w:t>37.2</w:t>
            </w:r>
          </w:p>
        </w:tc>
        <w:tc>
          <w:tcPr>
            <w:tcW w:w="843" w:type="dxa"/>
            <w:tcBorders>
              <w:top w:val="single" w:sz="4" w:space="0" w:color="auto"/>
              <w:bottom w:val="single" w:sz="8" w:space="0" w:color="4F81BD"/>
              <w:righ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r w:rsidRPr="00650B90">
              <w:rPr>
                <w:rFonts w:ascii="Calibri" w:eastAsia="Calibri" w:hAnsi="Calibri"/>
                <w:i/>
                <w:color w:val="000000"/>
                <w:sz w:val="32"/>
                <w:szCs w:val="32"/>
              </w:rPr>
              <w:t>100</w:t>
            </w:r>
          </w:p>
        </w:tc>
        <w:tc>
          <w:tcPr>
            <w:tcW w:w="932" w:type="dxa"/>
            <w:tcBorders>
              <w:top w:val="single" w:sz="4" w:space="0" w:color="auto"/>
              <w:left w:val="single" w:sz="8" w:space="0" w:color="4F81BD"/>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p>
        </w:tc>
        <w:tc>
          <w:tcPr>
            <w:tcW w:w="743"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p>
        </w:tc>
        <w:tc>
          <w:tcPr>
            <w:tcW w:w="837" w:type="dxa"/>
            <w:tcBorders>
              <w:top w:val="single" w:sz="4" w:space="0" w:color="auto"/>
            </w:tcBorders>
          </w:tcPr>
          <w:p w:rsidR="00160C5D" w:rsidRPr="00650B90" w:rsidRDefault="00160C5D" w:rsidP="00160C5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p>
        </w:tc>
        <w:tc>
          <w:tcPr>
            <w:tcW w:w="904" w:type="dxa"/>
            <w:tcBorders>
              <w:top w:val="single" w:sz="4" w:space="0" w:color="auto"/>
              <w:bottom w:val="single" w:sz="8" w:space="0" w:color="4F81BD"/>
              <w:right w:val="single" w:sz="8" w:space="0" w:color="4F81BD"/>
            </w:tcBorders>
          </w:tcPr>
          <w:p w:rsidR="00160C5D" w:rsidRPr="00650B90" w:rsidRDefault="00160C5D" w:rsidP="00160C5D">
            <w:pPr>
              <w:cnfStyle w:val="000000100000" w:firstRow="0" w:lastRow="0" w:firstColumn="0" w:lastColumn="0" w:oddVBand="0" w:evenVBand="0" w:oddHBand="1" w:evenHBand="0" w:firstRowFirstColumn="0" w:firstRowLastColumn="0" w:lastRowFirstColumn="0" w:lastRowLastColumn="0"/>
              <w:rPr>
                <w:rFonts w:ascii="Calibri" w:eastAsia="Calibri" w:hAnsi="Calibri"/>
                <w:i/>
                <w:color w:val="000000"/>
                <w:sz w:val="32"/>
                <w:szCs w:val="32"/>
              </w:rPr>
            </w:pPr>
          </w:p>
        </w:tc>
      </w:tr>
    </w:tbl>
    <w:p w:rsidR="00650B90" w:rsidRPr="00650B90" w:rsidRDefault="00650B90" w:rsidP="00650B90">
      <w:pPr>
        <w:sectPr w:rsidR="00650B90" w:rsidRPr="00650B90" w:rsidSect="00C05799">
          <w:pgSz w:w="15840" w:h="12240" w:orient="landscape"/>
          <w:pgMar w:top="1151" w:right="720" w:bottom="1151" w:left="720" w:header="0" w:footer="289" w:gutter="0"/>
          <w:cols w:space="720"/>
          <w:docGrid w:linePitch="382"/>
        </w:sectPr>
      </w:pPr>
    </w:p>
    <w:p w:rsidR="00BC6DCB" w:rsidRDefault="00BC6DCB" w:rsidP="00BC6DCB">
      <w:pPr>
        <w:pStyle w:val="Heading2"/>
        <w:rPr>
          <w:b/>
          <w:color w:val="005386"/>
        </w:rPr>
      </w:pPr>
      <w:r>
        <w:rPr>
          <w:b/>
          <w:color w:val="005386"/>
        </w:rPr>
        <w:lastRenderedPageBreak/>
        <w:t>Measuring Our Progress</w:t>
      </w:r>
    </w:p>
    <w:p w:rsidR="00130921" w:rsidRPr="004342AF" w:rsidRDefault="004342AF" w:rsidP="004342AF">
      <w:pPr>
        <w:pStyle w:val="Heading2"/>
        <w:rPr>
          <w:color w:val="005386"/>
        </w:rPr>
      </w:pPr>
      <w:r>
        <w:rPr>
          <w:color w:val="005386"/>
        </w:rPr>
        <w:t>Key Performance Indicators (KPI’s)</w:t>
      </w:r>
    </w:p>
    <w:p w:rsidR="00130921" w:rsidRPr="00130921" w:rsidRDefault="00130921" w:rsidP="00130921">
      <w:pPr>
        <w:rPr>
          <w:b w:val="0"/>
        </w:rPr>
      </w:pPr>
      <w:r>
        <w:rPr>
          <w:b w:val="0"/>
        </w:rPr>
        <w:t xml:space="preserve">The adopted KPI’s </w:t>
      </w:r>
      <w:r w:rsidRPr="00130921">
        <w:rPr>
          <w:b w:val="0"/>
        </w:rPr>
        <w:t>provide a balanced set of metrics that give emphasis to both financial and non-fina</w:t>
      </w:r>
      <w:r w:rsidR="00BD6252">
        <w:rPr>
          <w:b w:val="0"/>
        </w:rPr>
        <w:t>ncial measures. These help the Board and E</w:t>
      </w:r>
      <w:r w:rsidRPr="00130921">
        <w:rPr>
          <w:b w:val="0"/>
        </w:rPr>
        <w:t xml:space="preserve">xecutive </w:t>
      </w:r>
      <w:r>
        <w:rPr>
          <w:b w:val="0"/>
        </w:rPr>
        <w:t>MD</w:t>
      </w:r>
      <w:r w:rsidRPr="00130921">
        <w:rPr>
          <w:b w:val="0"/>
        </w:rPr>
        <w:t xml:space="preserve"> assess performance against our strategic priorities and business plans, with non-financial metrics playing a useful role as leading indi</w:t>
      </w:r>
      <w:r>
        <w:rPr>
          <w:b w:val="0"/>
        </w:rPr>
        <w:t>cators of future performance. OCHL’s Board and</w:t>
      </w:r>
      <w:r w:rsidRPr="00130921">
        <w:rPr>
          <w:b w:val="0"/>
        </w:rPr>
        <w:t xml:space="preserve"> management </w:t>
      </w:r>
      <w:r>
        <w:rPr>
          <w:b w:val="0"/>
        </w:rPr>
        <w:t>will use</w:t>
      </w:r>
      <w:r w:rsidRPr="00130921">
        <w:rPr>
          <w:b w:val="0"/>
        </w:rPr>
        <w:t xml:space="preserve"> these measures to evaluate operating performance and make financial, strategic and operating decisions.</w:t>
      </w:r>
    </w:p>
    <w:p w:rsidR="00130921" w:rsidRPr="00130921" w:rsidRDefault="00130921" w:rsidP="00130921">
      <w:pPr>
        <w:rPr>
          <w:b w:val="0"/>
        </w:rPr>
      </w:pPr>
    </w:p>
    <w:p w:rsidR="004342AF" w:rsidRPr="004342AF" w:rsidRDefault="004342AF" w:rsidP="004342AF">
      <w:pPr>
        <w:pStyle w:val="Heading2"/>
        <w:rPr>
          <w:color w:val="005386"/>
        </w:rPr>
      </w:pPr>
      <w:r>
        <w:rPr>
          <w:color w:val="005386"/>
        </w:rPr>
        <w:t>Ethical and Social Responsibility Policy</w:t>
      </w:r>
    </w:p>
    <w:p w:rsidR="00173B8B" w:rsidRDefault="004342AF" w:rsidP="00CF1D47">
      <w:pPr>
        <w:rPr>
          <w:b w:val="0"/>
        </w:rPr>
      </w:pPr>
      <w:r>
        <w:rPr>
          <w:b w:val="0"/>
        </w:rPr>
        <w:t>OCHL is committed to adopting and aligning our activities in line with Oxford City Council’s key priority objective of a clean</w:t>
      </w:r>
      <w:r w:rsidR="008D6E99">
        <w:rPr>
          <w:b w:val="0"/>
        </w:rPr>
        <w:t>er</w:t>
      </w:r>
      <w:r>
        <w:rPr>
          <w:b w:val="0"/>
        </w:rPr>
        <w:t xml:space="preserve"> and green</w:t>
      </w:r>
      <w:r w:rsidR="008D6E99">
        <w:rPr>
          <w:b w:val="0"/>
        </w:rPr>
        <w:t>er</w:t>
      </w:r>
      <w:r>
        <w:rPr>
          <w:b w:val="0"/>
        </w:rPr>
        <w:t xml:space="preserve"> Oxford.</w:t>
      </w:r>
    </w:p>
    <w:p w:rsidR="004342AF" w:rsidRDefault="004342AF" w:rsidP="00CF1D47">
      <w:pPr>
        <w:rPr>
          <w:b w:val="0"/>
        </w:rPr>
      </w:pPr>
    </w:p>
    <w:p w:rsidR="004342AF" w:rsidRDefault="004342AF" w:rsidP="00CF1D47">
      <w:pPr>
        <w:rPr>
          <w:b w:val="0"/>
        </w:rPr>
      </w:pPr>
      <w:r>
        <w:rPr>
          <w:b w:val="0"/>
        </w:rPr>
        <w:t>Our construction activities will have reference to incorporat</w:t>
      </w:r>
      <w:r w:rsidR="00F965EC">
        <w:rPr>
          <w:b w:val="0"/>
        </w:rPr>
        <w:t>ing</w:t>
      </w:r>
      <w:r>
        <w:rPr>
          <w:b w:val="0"/>
        </w:rPr>
        <w:t xml:space="preserve"> </w:t>
      </w:r>
      <w:r w:rsidR="008D6E99">
        <w:rPr>
          <w:b w:val="0"/>
        </w:rPr>
        <w:t>where we can and in the realms of affordability</w:t>
      </w:r>
      <w:r w:rsidR="00BD6252">
        <w:rPr>
          <w:b w:val="0"/>
        </w:rPr>
        <w:t>,</w:t>
      </w:r>
      <w:r w:rsidR="008D6E99">
        <w:rPr>
          <w:b w:val="0"/>
        </w:rPr>
        <w:t xml:space="preserve"> </w:t>
      </w:r>
      <w:r>
        <w:rPr>
          <w:b w:val="0"/>
        </w:rPr>
        <w:t xml:space="preserve">the concept of </w:t>
      </w:r>
      <w:r w:rsidRPr="004342AF">
        <w:rPr>
          <w:b w:val="0"/>
          <w:i/>
        </w:rPr>
        <w:t>sustainability</w:t>
      </w:r>
      <w:r>
        <w:rPr>
          <w:b w:val="0"/>
        </w:rPr>
        <w:t xml:space="preserve"> at its core and OCHL believes we can certainly contribute to the low carbon commitments OCC have identified with the introduction of solar panel</w:t>
      </w:r>
      <w:r w:rsidR="00F965EC">
        <w:rPr>
          <w:b w:val="0"/>
        </w:rPr>
        <w:t>s</w:t>
      </w:r>
      <w:r>
        <w:rPr>
          <w:b w:val="0"/>
        </w:rPr>
        <w:t xml:space="preserve"> on our new build schemes where</w:t>
      </w:r>
      <w:r w:rsidR="00F965EC">
        <w:rPr>
          <w:b w:val="0"/>
        </w:rPr>
        <w:t xml:space="preserve"> the opportunity exists.</w:t>
      </w:r>
    </w:p>
    <w:p w:rsidR="00F965EC" w:rsidRDefault="00F965EC" w:rsidP="00CF1D47">
      <w:pPr>
        <w:rPr>
          <w:b w:val="0"/>
        </w:rPr>
      </w:pPr>
    </w:p>
    <w:p w:rsidR="00F965EC" w:rsidRDefault="00F965EC" w:rsidP="00CF1D47">
      <w:pPr>
        <w:rPr>
          <w:b w:val="0"/>
        </w:rPr>
      </w:pPr>
      <w:r>
        <w:rPr>
          <w:b w:val="0"/>
        </w:rPr>
        <w:t xml:space="preserve">Furthermore, OCHL will request that appropriate focus on waste and recycling activities undertaken by our construction partners is </w:t>
      </w:r>
      <w:r w:rsidR="008D6E99">
        <w:rPr>
          <w:b w:val="0"/>
        </w:rPr>
        <w:t>evidenced as well as prioritising opportunities in our construction design for our tenants and new build customers to engage fully with the green agenda.</w:t>
      </w:r>
    </w:p>
    <w:p w:rsidR="008D6E99" w:rsidRDefault="008D6E99" w:rsidP="00CF1D47">
      <w:pPr>
        <w:rPr>
          <w:b w:val="0"/>
        </w:rPr>
      </w:pPr>
    </w:p>
    <w:p w:rsidR="001545EC" w:rsidRPr="001545EC" w:rsidRDefault="001545EC" w:rsidP="001545EC">
      <w:pPr>
        <w:pStyle w:val="Heading2"/>
        <w:rPr>
          <w:b/>
          <w:color w:val="005386"/>
        </w:rPr>
      </w:pPr>
      <w:r>
        <w:rPr>
          <w:b/>
          <w:color w:val="005386"/>
        </w:rPr>
        <w:t xml:space="preserve">Development </w:t>
      </w:r>
      <w:r w:rsidR="00197F88">
        <w:rPr>
          <w:b/>
          <w:color w:val="005386"/>
        </w:rPr>
        <w:t xml:space="preserve">and Financial </w:t>
      </w:r>
      <w:r>
        <w:rPr>
          <w:b/>
          <w:color w:val="005386"/>
        </w:rPr>
        <w:t>Performance</w:t>
      </w:r>
    </w:p>
    <w:p w:rsidR="001545EC" w:rsidRDefault="001545EC" w:rsidP="001F6DAE">
      <w:pPr>
        <w:pStyle w:val="Heading2"/>
        <w:rPr>
          <w:color w:val="005386"/>
        </w:rPr>
      </w:pPr>
      <w:r>
        <w:rPr>
          <w:color w:val="005386"/>
        </w:rPr>
        <w:t>Financial Modelling</w:t>
      </w:r>
    </w:p>
    <w:p w:rsidR="001F6DAE" w:rsidRPr="001F6DAE" w:rsidRDefault="001F6DAE" w:rsidP="001F6DAE">
      <w:pPr>
        <w:rPr>
          <w:b w:val="0"/>
        </w:rPr>
      </w:pPr>
      <w:r w:rsidRPr="001F6DAE">
        <w:rPr>
          <w:b w:val="0"/>
        </w:rPr>
        <w:t xml:space="preserve">To better understand the process that has been adopted by OCHL to assess the viability and long term profitability of </w:t>
      </w:r>
      <w:r>
        <w:rPr>
          <w:b w:val="0"/>
        </w:rPr>
        <w:t>its development a</w:t>
      </w:r>
      <w:r w:rsidRPr="001F6DAE">
        <w:rPr>
          <w:b w:val="0"/>
        </w:rPr>
        <w:t xml:space="preserve">ctivity </w:t>
      </w:r>
      <w:r w:rsidRPr="001F6DAE">
        <w:rPr>
          <w:b w:val="0"/>
          <w:i/>
          <w:u w:val="single"/>
        </w:rPr>
        <w:t>two</w:t>
      </w:r>
      <w:r w:rsidRPr="001F6DAE">
        <w:rPr>
          <w:b w:val="0"/>
        </w:rPr>
        <w:t xml:space="preserve"> financial exercises, using the Abovo financial modelling software, are undertaken</w:t>
      </w:r>
      <w:r w:rsidR="005B0EB3">
        <w:rPr>
          <w:b w:val="0"/>
        </w:rPr>
        <w:t>.</w:t>
      </w:r>
      <w:r w:rsidRPr="001F6DAE">
        <w:rPr>
          <w:b w:val="0"/>
        </w:rPr>
        <w:t xml:space="preserve"> </w:t>
      </w:r>
    </w:p>
    <w:p w:rsidR="001F6DAE" w:rsidRPr="001F6DAE" w:rsidRDefault="001F6DAE" w:rsidP="001F6DAE">
      <w:pPr>
        <w:rPr>
          <w:b w:val="0"/>
        </w:rPr>
      </w:pPr>
      <w:r w:rsidRPr="001F6DAE">
        <w:rPr>
          <w:b w:val="0"/>
        </w:rPr>
        <w:lastRenderedPageBreak/>
        <w:t xml:space="preserve">Firstly, a “Development” model is assessed for each </w:t>
      </w:r>
      <w:r w:rsidRPr="001F6DAE">
        <w:rPr>
          <w:b w:val="0"/>
          <w:i/>
          <w:u w:val="single"/>
        </w:rPr>
        <w:t>individual</w:t>
      </w:r>
      <w:r w:rsidRPr="001F6DAE">
        <w:rPr>
          <w:b w:val="0"/>
        </w:rPr>
        <w:t xml:space="preserve"> scheme using a number of estimated key assumptions relating to:</w:t>
      </w:r>
    </w:p>
    <w:p w:rsidR="001F6DAE" w:rsidRPr="001F6DAE" w:rsidRDefault="001F6DAE" w:rsidP="001F6DAE">
      <w:pPr>
        <w:rPr>
          <w:b w:val="0"/>
        </w:rPr>
      </w:pP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Unit Mix</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Rents and Service Charges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Capital Costs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Grant Income</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Subsidy</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Key Dates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Unit Handover and Sales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Cashflow Timings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Discount Rates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Interest Rates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Inflationary Rates</w:t>
      </w:r>
    </w:p>
    <w:p w:rsidR="001F6DAE" w:rsidRPr="001F6DAE" w:rsidRDefault="001F6DAE" w:rsidP="001F6DAE">
      <w:pPr>
        <w:pStyle w:val="ListParagraph"/>
        <w:numPr>
          <w:ilvl w:val="0"/>
          <w:numId w:val="1"/>
        </w:numPr>
        <w:rPr>
          <w:rFonts w:asciiTheme="minorHAnsi" w:hAnsiTheme="minorHAnsi"/>
        </w:rPr>
      </w:pPr>
      <w:r w:rsidRPr="001F6DAE">
        <w:rPr>
          <w:rFonts w:asciiTheme="minorHAnsi" w:hAnsiTheme="minorHAnsi"/>
        </w:rPr>
        <w:t>Management Costs</w:t>
      </w:r>
    </w:p>
    <w:p w:rsidR="001F6DAE" w:rsidRPr="001F6DAE" w:rsidRDefault="001F6DAE" w:rsidP="001F6DAE">
      <w:pPr>
        <w:rPr>
          <w:b w:val="0"/>
        </w:rPr>
      </w:pPr>
    </w:p>
    <w:p w:rsidR="001F6DAE" w:rsidRPr="001F6DAE" w:rsidRDefault="001F6DAE" w:rsidP="001F6DAE">
      <w:pPr>
        <w:rPr>
          <w:b w:val="0"/>
        </w:rPr>
      </w:pPr>
      <w:r w:rsidRPr="001F6DAE">
        <w:rPr>
          <w:b w:val="0"/>
        </w:rPr>
        <w:t>From the above analysis three key measurements for each scheme are compared against the agreed company thresholds for each calculation. These are:</w:t>
      </w:r>
    </w:p>
    <w:p w:rsidR="001F6DAE" w:rsidRPr="001F6DAE" w:rsidRDefault="00027084" w:rsidP="001F6DAE">
      <w:pPr>
        <w:rPr>
          <w:b w:val="0"/>
        </w:rPr>
      </w:pPr>
      <w:r w:rsidRPr="001F6DAE">
        <w:rPr>
          <w:b w:val="0"/>
          <w:noProof/>
          <w:lang w:eastAsia="en-GB"/>
        </w:rPr>
        <w:drawing>
          <wp:anchor distT="0" distB="0" distL="114300" distR="114300" simplePos="0" relativeHeight="251673088" behindDoc="0" locked="0" layoutInCell="1" allowOverlap="1" wp14:anchorId="7308F12C" wp14:editId="39192231">
            <wp:simplePos x="0" y="0"/>
            <wp:positionH relativeFrom="column">
              <wp:posOffset>1332865</wp:posOffset>
            </wp:positionH>
            <wp:positionV relativeFrom="page">
              <wp:posOffset>7613650</wp:posOffset>
            </wp:positionV>
            <wp:extent cx="3594100" cy="1593850"/>
            <wp:effectExtent l="0" t="0" r="0" b="0"/>
            <wp:wrapSquare wrapText="bothSides"/>
            <wp:docPr id="391" name="Diagram 3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p>
    <w:p w:rsidR="001F6DAE" w:rsidRPr="001F6DAE" w:rsidRDefault="001F6DAE" w:rsidP="001F6DAE">
      <w:pPr>
        <w:rPr>
          <w:b w:val="0"/>
          <w:color w:val="00518E"/>
          <w:sz w:val="36"/>
          <w:szCs w:val="36"/>
        </w:rPr>
      </w:pPr>
      <w:r w:rsidRPr="001F6DAE">
        <w:rPr>
          <w:b w:val="0"/>
          <w:color w:val="00518E"/>
          <w:sz w:val="36"/>
          <w:szCs w:val="36"/>
        </w:rPr>
        <w:t>Internal Rate of Return (IRR)</w:t>
      </w:r>
    </w:p>
    <w:p w:rsidR="001F6DAE" w:rsidRPr="001F6DAE" w:rsidRDefault="001F6DAE" w:rsidP="001F6DAE">
      <w:pPr>
        <w:rPr>
          <w:b w:val="0"/>
        </w:rPr>
      </w:pPr>
    </w:p>
    <w:p w:rsidR="001F6DAE" w:rsidRPr="001F6DAE" w:rsidRDefault="001F6DAE" w:rsidP="001F6DAE">
      <w:pPr>
        <w:rPr>
          <w:rStyle w:val="ilfuvd"/>
          <w:b w:val="0"/>
          <w:bCs/>
          <w:color w:val="222222"/>
        </w:rPr>
      </w:pPr>
      <w:r w:rsidRPr="001F6DAE">
        <w:rPr>
          <w:rStyle w:val="ilfuvd"/>
          <w:b w:val="0"/>
          <w:color w:val="222222"/>
        </w:rPr>
        <w:t>Internal rate of return (</w:t>
      </w:r>
      <w:r w:rsidRPr="001F6DAE">
        <w:rPr>
          <w:rStyle w:val="ilfuvd"/>
          <w:b w:val="0"/>
          <w:bCs/>
          <w:color w:val="222222"/>
        </w:rPr>
        <w:t>IRR</w:t>
      </w:r>
      <w:r w:rsidRPr="001F6DAE">
        <w:rPr>
          <w:rStyle w:val="ilfuvd"/>
          <w:b w:val="0"/>
          <w:color w:val="222222"/>
        </w:rPr>
        <w:t xml:space="preserve">) is a metric used in capital budgeting to estimate the profitability of potential investments. Internal rate of return is a discount rate that makes the net present value (NPV) of all cash flows from a particular project equal to zero. </w:t>
      </w:r>
      <w:r w:rsidRPr="001F6DAE">
        <w:rPr>
          <w:rStyle w:val="ilfuvd"/>
          <w:b w:val="0"/>
          <w:bCs/>
          <w:color w:val="222222"/>
        </w:rPr>
        <w:t xml:space="preserve"> OCHL have stated that all its development schemes must reach as a minimum an IRR of 4.00%.</w:t>
      </w:r>
    </w:p>
    <w:p w:rsidR="001F6DAE" w:rsidRPr="001F6DAE" w:rsidRDefault="001F6DAE" w:rsidP="001F6DAE">
      <w:pPr>
        <w:rPr>
          <w:rStyle w:val="ilfuvd"/>
          <w:b w:val="0"/>
          <w:bCs/>
          <w:color w:val="222222"/>
        </w:rPr>
      </w:pPr>
    </w:p>
    <w:p w:rsidR="001F6DAE" w:rsidRPr="001F6DAE" w:rsidRDefault="001F6DAE" w:rsidP="001F6DAE">
      <w:pPr>
        <w:rPr>
          <w:b w:val="0"/>
          <w:color w:val="00518E"/>
          <w:sz w:val="36"/>
          <w:szCs w:val="36"/>
        </w:rPr>
      </w:pPr>
      <w:r w:rsidRPr="001F6DAE">
        <w:rPr>
          <w:b w:val="0"/>
          <w:color w:val="00518E"/>
          <w:sz w:val="36"/>
          <w:szCs w:val="36"/>
        </w:rPr>
        <w:t>Net Present Value (NPV)</w:t>
      </w:r>
    </w:p>
    <w:p w:rsidR="001F6DAE" w:rsidRPr="001F6DAE" w:rsidRDefault="001F6DAE" w:rsidP="001F6DAE">
      <w:pPr>
        <w:rPr>
          <w:b w:val="0"/>
          <w:color w:val="00518E"/>
        </w:rPr>
      </w:pPr>
    </w:p>
    <w:p w:rsidR="001F6DAE" w:rsidRPr="001F6DAE" w:rsidRDefault="001F6DAE" w:rsidP="001F6DAE">
      <w:pPr>
        <w:rPr>
          <w:rStyle w:val="ilfuvd"/>
          <w:b w:val="0"/>
          <w:color w:val="222222"/>
        </w:rPr>
      </w:pPr>
      <w:r w:rsidRPr="001F6DAE">
        <w:rPr>
          <w:rStyle w:val="ilfuvd"/>
          <w:b w:val="0"/>
          <w:bCs/>
          <w:color w:val="222222"/>
        </w:rPr>
        <w:t>Net present value</w:t>
      </w:r>
      <w:r w:rsidRPr="001F6DAE">
        <w:rPr>
          <w:rStyle w:val="ilfuvd"/>
          <w:b w:val="0"/>
          <w:color w:val="222222"/>
        </w:rPr>
        <w:t xml:space="preserve"> (</w:t>
      </w:r>
      <w:r w:rsidRPr="001F6DAE">
        <w:rPr>
          <w:rStyle w:val="ilfuvd"/>
          <w:b w:val="0"/>
          <w:bCs/>
          <w:color w:val="222222"/>
        </w:rPr>
        <w:t>NPV</w:t>
      </w:r>
      <w:r w:rsidRPr="001F6DAE">
        <w:rPr>
          <w:rStyle w:val="ilfuvd"/>
          <w:b w:val="0"/>
          <w:color w:val="222222"/>
        </w:rPr>
        <w:t xml:space="preserve">) is the difference between the present value of cash inflows and the present value of cash outflows over a period of time. </w:t>
      </w:r>
      <w:r w:rsidRPr="001F6DAE">
        <w:rPr>
          <w:rStyle w:val="ilfuvd"/>
          <w:b w:val="0"/>
          <w:bCs/>
          <w:color w:val="222222"/>
        </w:rPr>
        <w:t>NPV</w:t>
      </w:r>
      <w:r w:rsidRPr="001F6DAE">
        <w:rPr>
          <w:rStyle w:val="ilfuvd"/>
          <w:b w:val="0"/>
          <w:color w:val="222222"/>
        </w:rPr>
        <w:t xml:space="preserve"> is used in capital budgeting </w:t>
      </w:r>
      <w:r w:rsidRPr="001F6DAE">
        <w:rPr>
          <w:rStyle w:val="ilfuvd"/>
          <w:b w:val="0"/>
          <w:color w:val="222222"/>
        </w:rPr>
        <w:lastRenderedPageBreak/>
        <w:t>and investment planning to analyse the profitability of a projected investment or project. OCHL have initially just set an NPV threshold of being positive i.e. some additional value is created for OCHL as a result of the scheme progressing.</w:t>
      </w:r>
    </w:p>
    <w:p w:rsidR="001F6DAE" w:rsidRPr="001F6DAE" w:rsidRDefault="001F6DAE" w:rsidP="001F1965"/>
    <w:p w:rsidR="001F6DAE" w:rsidRPr="001F6DAE" w:rsidRDefault="001F6DAE" w:rsidP="001F6DAE">
      <w:pPr>
        <w:rPr>
          <w:b w:val="0"/>
          <w:color w:val="00518E"/>
          <w:sz w:val="36"/>
          <w:szCs w:val="36"/>
        </w:rPr>
      </w:pPr>
      <w:r w:rsidRPr="001F6DAE">
        <w:rPr>
          <w:b w:val="0"/>
          <w:color w:val="00518E"/>
          <w:sz w:val="36"/>
          <w:szCs w:val="36"/>
        </w:rPr>
        <w:t>Payback (PYB)</w:t>
      </w:r>
    </w:p>
    <w:p w:rsidR="001F6DAE" w:rsidRPr="001F6DAE" w:rsidRDefault="001F6DAE" w:rsidP="001F1965"/>
    <w:p w:rsidR="001F6DAE" w:rsidRPr="001F6DAE" w:rsidRDefault="001F6DAE" w:rsidP="001F6DAE">
      <w:pPr>
        <w:rPr>
          <w:b w:val="0"/>
          <w:color w:val="000000"/>
        </w:rPr>
      </w:pPr>
      <w:r w:rsidRPr="001F6DAE">
        <w:rPr>
          <w:b w:val="0"/>
          <w:color w:val="000000"/>
        </w:rPr>
        <w:t>The payback period is the number of years it takes to break even from undertaking the initial expenditure. Future cash flows are reviewed and compared to the initial capital outlay. OCHL have initially indicated a payback threshold of 40 years, although schemes falling just outside this timeframe will not initially be refused.</w:t>
      </w:r>
    </w:p>
    <w:p w:rsidR="001F6DAE" w:rsidRPr="001F6DAE" w:rsidRDefault="001F6DAE" w:rsidP="001F1965"/>
    <w:p w:rsidR="001F6DAE" w:rsidRDefault="001F6DAE" w:rsidP="001F6DAE">
      <w:pPr>
        <w:rPr>
          <w:b w:val="0"/>
          <w:color w:val="00518E"/>
          <w:sz w:val="36"/>
          <w:szCs w:val="36"/>
        </w:rPr>
      </w:pPr>
      <w:r w:rsidRPr="001F6DAE">
        <w:rPr>
          <w:b w:val="0"/>
          <w:color w:val="00518E"/>
          <w:sz w:val="36"/>
          <w:szCs w:val="36"/>
        </w:rPr>
        <w:t>Dashboard</w:t>
      </w:r>
    </w:p>
    <w:p w:rsidR="001F1965" w:rsidRPr="001F1965" w:rsidRDefault="001F1965" w:rsidP="001F1965"/>
    <w:p w:rsidR="001F6DAE" w:rsidRPr="001F6DAE" w:rsidRDefault="001F6DAE" w:rsidP="001F6DAE">
      <w:pPr>
        <w:rPr>
          <w:b w:val="0"/>
          <w:color w:val="000000"/>
        </w:rPr>
      </w:pPr>
      <w:r w:rsidRPr="001F6DAE">
        <w:rPr>
          <w:b w:val="0"/>
          <w:color w:val="000000"/>
        </w:rPr>
        <w:t>Armed with the above agreed company development thresholds each individual scheme can now be assessed and outputs provided on a dashboard report.</w:t>
      </w:r>
    </w:p>
    <w:p w:rsidR="001F6DAE" w:rsidRDefault="001F6DAE" w:rsidP="001F6DAE">
      <w:pPr>
        <w:rPr>
          <w:b w:val="0"/>
        </w:rPr>
      </w:pPr>
    </w:p>
    <w:p w:rsidR="001F1965" w:rsidRPr="001F1965" w:rsidRDefault="001F1965" w:rsidP="001F1965">
      <w:pPr>
        <w:rPr>
          <w:b w:val="0"/>
        </w:rPr>
      </w:pPr>
      <w:r w:rsidRPr="001F1965">
        <w:rPr>
          <w:b w:val="0"/>
        </w:rPr>
        <w:t>The Dashboard analysis charts several outcomes for each individual scheme, namely:</w:t>
      </w:r>
    </w:p>
    <w:p w:rsidR="008E0E95" w:rsidRDefault="008E0E95" w:rsidP="001F6DAE">
      <w:pPr>
        <w:rPr>
          <w:b w:val="0"/>
        </w:rPr>
      </w:pPr>
    </w:p>
    <w:p w:rsidR="008E0E95" w:rsidRDefault="008E0E95" w:rsidP="001F6DAE">
      <w:pPr>
        <w:rPr>
          <w:b w:val="0"/>
        </w:rPr>
      </w:pPr>
    </w:p>
    <w:p w:rsidR="008E0E95" w:rsidRDefault="008E0E95" w:rsidP="001F6DAE">
      <w:pPr>
        <w:rPr>
          <w:b w:val="0"/>
        </w:rPr>
      </w:pPr>
    </w:p>
    <w:p w:rsidR="008E0E95" w:rsidRPr="004D3338" w:rsidRDefault="001F1965" w:rsidP="001F6DAE">
      <w:pPr>
        <w:rPr>
          <w:b w:val="0"/>
          <w:color w:val="00518E"/>
          <w:sz w:val="36"/>
          <w:szCs w:val="36"/>
        </w:rPr>
      </w:pPr>
      <w:r w:rsidRPr="001F1965">
        <w:rPr>
          <w:rFonts w:ascii="Calibri" w:eastAsia="Calibri" w:hAnsi="Calibri" w:cs="Arial"/>
          <w:b w:val="0"/>
          <w:noProof/>
          <w:color w:val="000000"/>
          <w:sz w:val="24"/>
          <w:szCs w:val="24"/>
          <w:lang w:eastAsia="en-GB"/>
        </w:rPr>
        <w:lastRenderedPageBreak/>
        <w:drawing>
          <wp:anchor distT="0" distB="0" distL="114300" distR="114300" simplePos="0" relativeHeight="251674112" behindDoc="0" locked="0" layoutInCell="1" allowOverlap="1" wp14:anchorId="027ACE54" wp14:editId="3C4A14E7">
            <wp:simplePos x="0" y="0"/>
            <wp:positionH relativeFrom="column">
              <wp:posOffset>-635</wp:posOffset>
            </wp:positionH>
            <wp:positionV relativeFrom="page">
              <wp:posOffset>1371600</wp:posOffset>
            </wp:positionV>
            <wp:extent cx="6356350" cy="7734300"/>
            <wp:effectExtent l="76200" t="57150" r="63500" b="133350"/>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r>
        <w:rPr>
          <w:b w:val="0"/>
          <w:color w:val="00518E"/>
          <w:sz w:val="36"/>
          <w:szCs w:val="36"/>
        </w:rPr>
        <w:t xml:space="preserve">Development </w:t>
      </w:r>
      <w:r w:rsidRPr="001F6DAE">
        <w:rPr>
          <w:b w:val="0"/>
          <w:color w:val="00518E"/>
          <w:sz w:val="36"/>
          <w:szCs w:val="36"/>
        </w:rPr>
        <w:t>Dashboard</w:t>
      </w:r>
      <w:r>
        <w:rPr>
          <w:b w:val="0"/>
          <w:color w:val="00518E"/>
          <w:sz w:val="36"/>
          <w:szCs w:val="36"/>
        </w:rPr>
        <w:t xml:space="preserve"> Outcomes</w:t>
      </w:r>
    </w:p>
    <w:p w:rsidR="001F1965" w:rsidRDefault="00197F88" w:rsidP="001F1965">
      <w:pPr>
        <w:rPr>
          <w:b w:val="0"/>
          <w:color w:val="00518E"/>
          <w:sz w:val="36"/>
          <w:szCs w:val="36"/>
        </w:rPr>
      </w:pPr>
      <w:r>
        <w:rPr>
          <w:b w:val="0"/>
          <w:color w:val="00518E"/>
          <w:sz w:val="36"/>
          <w:szCs w:val="36"/>
        </w:rPr>
        <w:lastRenderedPageBreak/>
        <w:t>Financial Performance</w:t>
      </w:r>
    </w:p>
    <w:p w:rsidR="001F1965" w:rsidRPr="00565E40" w:rsidRDefault="001F1965" w:rsidP="00565E40">
      <w:pPr>
        <w:rPr>
          <w:b w:val="0"/>
        </w:rPr>
      </w:pPr>
      <w:r w:rsidRPr="00565E40">
        <w:rPr>
          <w:b w:val="0"/>
        </w:rPr>
        <w:t xml:space="preserve">The </w:t>
      </w:r>
      <w:r w:rsidRPr="00565E40">
        <w:rPr>
          <w:b w:val="0"/>
          <w:i/>
        </w:rPr>
        <w:t>second</w:t>
      </w:r>
      <w:r w:rsidRPr="00565E40">
        <w:rPr>
          <w:b w:val="0"/>
        </w:rPr>
        <w:t xml:space="preserve"> financial undertaking is taking each of the approved development models for all the schemes and extensions programme and inputting them into the Business Plan model to produce a set of combined financial statements over the next 40 years to ascertain the profitability and</w:t>
      </w:r>
      <w:r w:rsidR="00197F88" w:rsidRPr="00565E40">
        <w:rPr>
          <w:b w:val="0"/>
        </w:rPr>
        <w:t xml:space="preserve"> financial position (strength)</w:t>
      </w:r>
      <w:r w:rsidRPr="00565E40">
        <w:rPr>
          <w:b w:val="0"/>
        </w:rPr>
        <w:t xml:space="preserve"> of OCHL and to gauge as to whether it is a good going concern and long term investment.</w:t>
      </w:r>
    </w:p>
    <w:p w:rsidR="001F1965" w:rsidRPr="00565E40" w:rsidRDefault="001F1965" w:rsidP="00565E40">
      <w:pPr>
        <w:rPr>
          <w:b w:val="0"/>
        </w:rPr>
      </w:pPr>
    </w:p>
    <w:p w:rsidR="001F1965" w:rsidRPr="00565E40" w:rsidRDefault="001F1965" w:rsidP="00565E40">
      <w:pPr>
        <w:rPr>
          <w:b w:val="0"/>
        </w:rPr>
      </w:pPr>
      <w:r w:rsidRPr="00565E40">
        <w:rPr>
          <w:b w:val="0"/>
        </w:rPr>
        <w:t>Other matters that are considered in this analysis include:</w:t>
      </w:r>
    </w:p>
    <w:p w:rsidR="001F1965" w:rsidRPr="001F1965" w:rsidRDefault="001F1965" w:rsidP="001F1965">
      <w:pPr>
        <w:pStyle w:val="ListParagraph"/>
        <w:ind w:left="720"/>
        <w:rPr>
          <w:rFonts w:asciiTheme="minorHAnsi" w:hAnsiTheme="minorHAnsi" w:cstheme="minorHAnsi"/>
          <w:sz w:val="28"/>
          <w:szCs w:val="28"/>
        </w:rPr>
      </w:pPr>
    </w:p>
    <w:p w:rsidR="001F1965" w:rsidRPr="001F1965" w:rsidRDefault="001F1965" w:rsidP="001F1965">
      <w:pPr>
        <w:pStyle w:val="ListParagraph"/>
        <w:numPr>
          <w:ilvl w:val="0"/>
          <w:numId w:val="2"/>
        </w:numPr>
        <w:rPr>
          <w:rFonts w:asciiTheme="minorHAnsi" w:hAnsiTheme="minorHAnsi" w:cstheme="minorHAnsi"/>
          <w:sz w:val="28"/>
          <w:szCs w:val="28"/>
        </w:rPr>
      </w:pPr>
      <w:r w:rsidRPr="001F1965">
        <w:rPr>
          <w:rFonts w:asciiTheme="minorHAnsi" w:hAnsiTheme="minorHAnsi" w:cstheme="minorHAnsi"/>
          <w:b/>
          <w:sz w:val="28"/>
          <w:szCs w:val="28"/>
        </w:rPr>
        <w:t>Assumptions</w:t>
      </w:r>
      <w:r w:rsidRPr="001F1965">
        <w:rPr>
          <w:rFonts w:asciiTheme="minorHAnsi" w:hAnsiTheme="minorHAnsi" w:cstheme="minorHAnsi"/>
          <w:sz w:val="28"/>
          <w:szCs w:val="28"/>
        </w:rPr>
        <w:t>;</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Stock - Future Disposals and Other Income</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Management Costs - especially those that are non-development related e.g. consultancy, SLA’s etc.</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Repairs and Maintenance</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Economic - e.g. Funding, Covenant, Taxation etc.</w:t>
      </w:r>
    </w:p>
    <w:p w:rsid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Accounting - namely depreciation policy, revaluations, inter-company transactions etc.</w:t>
      </w:r>
    </w:p>
    <w:p w:rsidR="00125DA1" w:rsidRPr="001F1965" w:rsidRDefault="00125DA1" w:rsidP="00125DA1">
      <w:pPr>
        <w:pStyle w:val="ListParagraph"/>
        <w:ind w:left="2160"/>
        <w:rPr>
          <w:rFonts w:asciiTheme="minorHAnsi" w:hAnsiTheme="minorHAnsi" w:cstheme="minorHAnsi"/>
          <w:sz w:val="28"/>
          <w:szCs w:val="28"/>
        </w:rPr>
      </w:pPr>
    </w:p>
    <w:p w:rsidR="001F1965" w:rsidRPr="001F1965" w:rsidRDefault="001F1965" w:rsidP="001F1965">
      <w:pPr>
        <w:pStyle w:val="ListParagraph"/>
        <w:numPr>
          <w:ilvl w:val="0"/>
          <w:numId w:val="2"/>
        </w:numPr>
        <w:rPr>
          <w:rFonts w:asciiTheme="minorHAnsi" w:hAnsiTheme="minorHAnsi" w:cstheme="minorHAnsi"/>
          <w:sz w:val="28"/>
          <w:szCs w:val="28"/>
        </w:rPr>
      </w:pPr>
      <w:r w:rsidRPr="001F1965">
        <w:rPr>
          <w:rFonts w:asciiTheme="minorHAnsi" w:hAnsiTheme="minorHAnsi" w:cstheme="minorHAnsi"/>
          <w:b/>
          <w:sz w:val="28"/>
          <w:szCs w:val="28"/>
        </w:rPr>
        <w:t>Workings</w:t>
      </w:r>
      <w:r w:rsidRPr="001F1965">
        <w:rPr>
          <w:rFonts w:asciiTheme="minorHAnsi" w:hAnsiTheme="minorHAnsi" w:cstheme="minorHAnsi"/>
          <w:sz w:val="28"/>
          <w:szCs w:val="28"/>
        </w:rPr>
        <w:t>;</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Stock - Target Rent Letting rates, RTB numbers</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Rents – Void Rates, Bad Debts, Uplifts, Arrears etc.</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Management Costs – drivers, factors, fixed, variable etc.</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Repairs and Maintenance – drivers, revenue, capital, cyclical etc.</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Economic – loan types, repayments, accelerated debt redemption, interest paid, covenant parameters etc.</w:t>
      </w:r>
    </w:p>
    <w:p w:rsid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Accounting – depreciation rates, componentisation, trial balance adjustments etc.</w:t>
      </w:r>
    </w:p>
    <w:p w:rsidR="00125DA1" w:rsidRPr="001F1965" w:rsidRDefault="00125DA1" w:rsidP="00125DA1">
      <w:pPr>
        <w:pStyle w:val="ListParagraph"/>
        <w:ind w:left="2160"/>
        <w:rPr>
          <w:rFonts w:asciiTheme="minorHAnsi" w:hAnsiTheme="minorHAnsi" w:cstheme="minorHAnsi"/>
          <w:sz w:val="28"/>
          <w:szCs w:val="28"/>
        </w:rPr>
      </w:pPr>
    </w:p>
    <w:p w:rsidR="001F1965" w:rsidRPr="001F1965" w:rsidRDefault="001F1965" w:rsidP="001F1965">
      <w:pPr>
        <w:pStyle w:val="ListParagraph"/>
        <w:numPr>
          <w:ilvl w:val="0"/>
          <w:numId w:val="2"/>
        </w:numPr>
        <w:rPr>
          <w:rFonts w:asciiTheme="minorHAnsi" w:hAnsiTheme="minorHAnsi" w:cstheme="minorHAnsi"/>
          <w:b/>
          <w:sz w:val="28"/>
          <w:szCs w:val="28"/>
        </w:rPr>
      </w:pPr>
      <w:r w:rsidRPr="001F1965">
        <w:rPr>
          <w:rFonts w:asciiTheme="minorHAnsi" w:hAnsiTheme="minorHAnsi" w:cstheme="minorHAnsi"/>
          <w:b/>
          <w:sz w:val="28"/>
          <w:szCs w:val="28"/>
        </w:rPr>
        <w:t>Outputs;</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Cashflows</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Financial Statements</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Dashboard</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Covenants</w:t>
      </w:r>
    </w:p>
    <w:p w:rsidR="001F1965" w:rsidRPr="001F1965" w:rsidRDefault="001F1965" w:rsidP="001F1965">
      <w:pPr>
        <w:pStyle w:val="ListParagraph"/>
        <w:numPr>
          <w:ilvl w:val="1"/>
          <w:numId w:val="2"/>
        </w:numPr>
        <w:rPr>
          <w:rFonts w:asciiTheme="minorHAnsi" w:hAnsiTheme="minorHAnsi" w:cstheme="minorHAnsi"/>
          <w:sz w:val="28"/>
          <w:szCs w:val="28"/>
        </w:rPr>
      </w:pPr>
      <w:r w:rsidRPr="001F1965">
        <w:rPr>
          <w:rFonts w:asciiTheme="minorHAnsi" w:hAnsiTheme="minorHAnsi" w:cstheme="minorHAnsi"/>
          <w:sz w:val="28"/>
          <w:szCs w:val="28"/>
        </w:rPr>
        <w:t>Scenario Planning</w:t>
      </w:r>
    </w:p>
    <w:p w:rsidR="008E0E95" w:rsidRDefault="008E0E95" w:rsidP="001F6DAE">
      <w:pPr>
        <w:rPr>
          <w:rFonts w:cstheme="minorHAnsi"/>
          <w:b w:val="0"/>
          <w:szCs w:val="28"/>
        </w:rPr>
      </w:pPr>
    </w:p>
    <w:p w:rsidR="00197F88" w:rsidRDefault="00197F88" w:rsidP="001F6DAE">
      <w:pPr>
        <w:rPr>
          <w:rFonts w:cstheme="minorHAnsi"/>
          <w:b w:val="0"/>
          <w:szCs w:val="28"/>
        </w:rPr>
      </w:pPr>
    </w:p>
    <w:p w:rsidR="00197F88" w:rsidRDefault="00197F88" w:rsidP="00197F88">
      <w:pPr>
        <w:pStyle w:val="Heading2"/>
        <w:rPr>
          <w:b/>
          <w:color w:val="005386"/>
        </w:rPr>
      </w:pPr>
      <w:r>
        <w:rPr>
          <w:b/>
          <w:color w:val="005386"/>
        </w:rPr>
        <w:lastRenderedPageBreak/>
        <w:t>Stress Testing</w:t>
      </w:r>
    </w:p>
    <w:p w:rsidR="00197F88" w:rsidRPr="00197F88" w:rsidRDefault="00197F88" w:rsidP="00197F88">
      <w:pPr>
        <w:pStyle w:val="Heading2"/>
        <w:rPr>
          <w:color w:val="005386"/>
        </w:rPr>
      </w:pPr>
      <w:r>
        <w:rPr>
          <w:color w:val="005386"/>
        </w:rPr>
        <w:t>Scenario Planning</w:t>
      </w:r>
    </w:p>
    <w:p w:rsidR="00197F88" w:rsidRDefault="00197F88" w:rsidP="00197F88">
      <w:pPr>
        <w:rPr>
          <w:b w:val="0"/>
        </w:rPr>
      </w:pPr>
      <w:r w:rsidRPr="00197F88">
        <w:rPr>
          <w:b w:val="0"/>
        </w:rPr>
        <w:t xml:space="preserve">In order to </w:t>
      </w:r>
      <w:r>
        <w:rPr>
          <w:b w:val="0"/>
        </w:rPr>
        <w:t>demonstrate robustness in the development and financial performance modelling, pushing the boundaries of possible scenarios quickly identifies the associated strengths and weaknesses of OCHL’s proposed plans.</w:t>
      </w:r>
    </w:p>
    <w:p w:rsidR="00197F88" w:rsidRDefault="00197F88" w:rsidP="00197F88">
      <w:pPr>
        <w:rPr>
          <w:b w:val="0"/>
        </w:rPr>
      </w:pPr>
    </w:p>
    <w:p w:rsidR="00197F88" w:rsidRDefault="00197F88" w:rsidP="00197F88">
      <w:pPr>
        <w:rPr>
          <w:b w:val="0"/>
        </w:rPr>
      </w:pPr>
      <w:r>
        <w:rPr>
          <w:b w:val="0"/>
        </w:rPr>
        <w:t xml:space="preserve">The key in managing this is to firstly be able to identify the </w:t>
      </w:r>
      <w:r w:rsidR="00CB0FFB">
        <w:rPr>
          <w:b w:val="0"/>
        </w:rPr>
        <w:t xml:space="preserve">limiting factors and </w:t>
      </w:r>
      <w:r>
        <w:rPr>
          <w:b w:val="0"/>
        </w:rPr>
        <w:t xml:space="preserve">key elements </w:t>
      </w:r>
      <w:r w:rsidR="00CB0FFB">
        <w:rPr>
          <w:b w:val="0"/>
        </w:rPr>
        <w:t xml:space="preserve">and </w:t>
      </w:r>
      <w:r>
        <w:rPr>
          <w:b w:val="0"/>
        </w:rPr>
        <w:t xml:space="preserve">then </w:t>
      </w:r>
      <w:r w:rsidR="00CB0FFB">
        <w:rPr>
          <w:b w:val="0"/>
        </w:rPr>
        <w:t xml:space="preserve">to be able to </w:t>
      </w:r>
      <w:r>
        <w:rPr>
          <w:b w:val="0"/>
        </w:rPr>
        <w:t xml:space="preserve">measure them </w:t>
      </w:r>
      <w:r w:rsidR="00CB0FFB">
        <w:rPr>
          <w:b w:val="0"/>
        </w:rPr>
        <w:t>before finally being able to</w:t>
      </w:r>
      <w:r>
        <w:rPr>
          <w:b w:val="0"/>
        </w:rPr>
        <w:t xml:space="preserve"> understand and compare the </w:t>
      </w:r>
      <w:r w:rsidR="00CB0FFB">
        <w:rPr>
          <w:b w:val="0"/>
        </w:rPr>
        <w:t xml:space="preserve">overall </w:t>
      </w:r>
      <w:r>
        <w:rPr>
          <w:b w:val="0"/>
        </w:rPr>
        <w:t>impact against current expectations.</w:t>
      </w:r>
    </w:p>
    <w:p w:rsidR="00197F88" w:rsidRDefault="00197F88" w:rsidP="00197F88">
      <w:pPr>
        <w:rPr>
          <w:b w:val="0"/>
        </w:rPr>
      </w:pPr>
    </w:p>
    <w:p w:rsidR="00197F88" w:rsidRDefault="00CB0FFB" w:rsidP="00197F88">
      <w:pPr>
        <w:rPr>
          <w:b w:val="0"/>
        </w:rPr>
      </w:pPr>
      <w:r>
        <w:rPr>
          <w:b w:val="0"/>
        </w:rPr>
        <w:t>Again the Abovo products procured by</w:t>
      </w:r>
      <w:r w:rsidR="00197F88">
        <w:rPr>
          <w:b w:val="0"/>
        </w:rPr>
        <w:t xml:space="preserve"> OCHL </w:t>
      </w:r>
      <w:r>
        <w:rPr>
          <w:b w:val="0"/>
        </w:rPr>
        <w:t>allows much of the stress testing and scenario planning to take place and produced in a format that can be presented to the Board for consideration and feedback.</w:t>
      </w:r>
    </w:p>
    <w:p w:rsidR="00CB0FFB" w:rsidRDefault="00CB0FFB" w:rsidP="00197F88">
      <w:pPr>
        <w:rPr>
          <w:b w:val="0"/>
        </w:rPr>
      </w:pPr>
    </w:p>
    <w:p w:rsidR="00CB0FFB" w:rsidRDefault="00CB0FFB" w:rsidP="00197F88">
      <w:pPr>
        <w:rPr>
          <w:b w:val="0"/>
        </w:rPr>
      </w:pPr>
      <w:r>
        <w:rPr>
          <w:b w:val="0"/>
        </w:rPr>
        <w:t>Where needed, alternative strategies are explored for their viability and impact.</w:t>
      </w:r>
    </w:p>
    <w:p w:rsidR="00CB0FFB" w:rsidRDefault="00CB0FFB" w:rsidP="00197F88">
      <w:pPr>
        <w:rPr>
          <w:b w:val="0"/>
        </w:rPr>
      </w:pPr>
    </w:p>
    <w:p w:rsidR="00CB0FFB" w:rsidRDefault="00CB0FFB" w:rsidP="00197F88">
      <w:pPr>
        <w:rPr>
          <w:b w:val="0"/>
        </w:rPr>
      </w:pPr>
      <w:r>
        <w:rPr>
          <w:b w:val="0"/>
        </w:rPr>
        <w:t xml:space="preserve">It must be stated that as a </w:t>
      </w:r>
      <w:r w:rsidR="00541569">
        <w:rPr>
          <w:b w:val="0"/>
        </w:rPr>
        <w:t xml:space="preserve">young and ambitious </w:t>
      </w:r>
      <w:r>
        <w:rPr>
          <w:b w:val="0"/>
        </w:rPr>
        <w:t>company with all our financing emanating from borrowing the company will initially be highly geared. Our original BP indicated the Board’s desire to adopt a strategy of accelerating debt redemption where financially possible and affordable. Thus, all surplus resources are focussed in adopting this principle of paying down existing debt.</w:t>
      </w:r>
    </w:p>
    <w:p w:rsidR="00CB0FFB" w:rsidRDefault="00CB0FFB" w:rsidP="00197F88">
      <w:pPr>
        <w:rPr>
          <w:b w:val="0"/>
        </w:rPr>
      </w:pPr>
    </w:p>
    <w:p w:rsidR="00CB0FFB" w:rsidRDefault="00CB0FFB" w:rsidP="00197F88">
      <w:pPr>
        <w:rPr>
          <w:b w:val="0"/>
        </w:rPr>
      </w:pPr>
      <w:r>
        <w:rPr>
          <w:b w:val="0"/>
        </w:rPr>
        <w:t>The consequences of being a 100% debt funded entity are that, certainly in the early years of our BP, the ability to meet rea</w:t>
      </w:r>
      <w:r w:rsidR="009A7AC8">
        <w:rPr>
          <w:b w:val="0"/>
        </w:rPr>
        <w:t xml:space="preserve">sonable loan covenant thresholds </w:t>
      </w:r>
      <w:r w:rsidR="00541569">
        <w:rPr>
          <w:b w:val="0"/>
        </w:rPr>
        <w:t xml:space="preserve">is </w:t>
      </w:r>
      <w:r w:rsidR="009A7AC8">
        <w:rPr>
          <w:b w:val="0"/>
        </w:rPr>
        <w:t>difficult. We have as such agreed with the Council (our funder) that they can provide a certain deg</w:t>
      </w:r>
      <w:r w:rsidR="00565E40">
        <w:rPr>
          <w:b w:val="0"/>
        </w:rPr>
        <w:t>ree of flexibility and latitude.</w:t>
      </w:r>
    </w:p>
    <w:p w:rsidR="00565E40" w:rsidRDefault="00565E40" w:rsidP="00197F88">
      <w:pPr>
        <w:rPr>
          <w:b w:val="0"/>
        </w:rPr>
      </w:pPr>
    </w:p>
    <w:p w:rsidR="00565E40" w:rsidRDefault="00565E40" w:rsidP="00197F88">
      <w:pPr>
        <w:rPr>
          <w:b w:val="0"/>
        </w:rPr>
      </w:pPr>
    </w:p>
    <w:p w:rsidR="00565E40" w:rsidRDefault="00565E40" w:rsidP="00197F88">
      <w:pPr>
        <w:rPr>
          <w:b w:val="0"/>
        </w:rPr>
      </w:pPr>
    </w:p>
    <w:p w:rsidR="00E1529E" w:rsidRDefault="00E1529E" w:rsidP="00197F88">
      <w:pPr>
        <w:rPr>
          <w:b w:val="0"/>
        </w:rPr>
        <w:sectPr w:rsidR="00E1529E" w:rsidSect="00E1529E">
          <w:pgSz w:w="12240" w:h="15840"/>
          <w:pgMar w:top="720" w:right="1151" w:bottom="720" w:left="1151" w:header="0" w:footer="289" w:gutter="0"/>
          <w:cols w:space="720"/>
          <w:docGrid w:linePitch="382"/>
        </w:sectPr>
      </w:pPr>
    </w:p>
    <w:p w:rsidR="00565E40" w:rsidRDefault="00565E40" w:rsidP="00565E40">
      <w:pPr>
        <w:pStyle w:val="Heading2"/>
        <w:rPr>
          <w:b/>
          <w:color w:val="005386"/>
        </w:rPr>
      </w:pPr>
      <w:r>
        <w:rPr>
          <w:b/>
          <w:color w:val="005386"/>
        </w:rPr>
        <w:lastRenderedPageBreak/>
        <w:t>Managing Risk</w:t>
      </w:r>
    </w:p>
    <w:p w:rsidR="00E1529E" w:rsidRDefault="002D4F11" w:rsidP="00E1529E">
      <w:pPr>
        <w:pStyle w:val="Heading2"/>
        <w:rPr>
          <w:color w:val="005386"/>
        </w:rPr>
      </w:pPr>
      <w:r>
        <w:rPr>
          <w:color w:val="005386"/>
        </w:rPr>
        <w:t xml:space="preserve">Risk </w:t>
      </w:r>
      <w:r w:rsidR="00565E40">
        <w:rPr>
          <w:color w:val="005386"/>
        </w:rPr>
        <w:t>Categories</w:t>
      </w:r>
    </w:p>
    <w:p w:rsidR="00E1529E" w:rsidRDefault="00E1529E" w:rsidP="00E1529E"/>
    <w:p w:rsidR="00E1529E" w:rsidRPr="00E1529E" w:rsidRDefault="00ED5DBB" w:rsidP="00E1529E">
      <w:pPr>
        <w:sectPr w:rsidR="00E1529E" w:rsidRPr="00E1529E" w:rsidSect="00E1529E">
          <w:pgSz w:w="15840" w:h="12240" w:orient="landscape"/>
          <w:pgMar w:top="1151" w:right="720" w:bottom="1151" w:left="720" w:header="0" w:footer="289" w:gutter="0"/>
          <w:cols w:space="720"/>
          <w:docGrid w:linePitch="382"/>
        </w:sectPr>
      </w:pPr>
      <w:r w:rsidRPr="00ED5DBB">
        <w:rPr>
          <w:noProof/>
          <w:lang w:eastAsia="en-GB"/>
        </w:rPr>
        <w:drawing>
          <wp:inline distT="0" distB="0" distL="0" distR="0" wp14:anchorId="695D889B" wp14:editId="17D44C3B">
            <wp:extent cx="9309100" cy="4968240"/>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330601" cy="4979715"/>
                    </a:xfrm>
                    <a:prstGeom prst="rect">
                      <a:avLst/>
                    </a:prstGeom>
                  </pic:spPr>
                </pic:pic>
              </a:graphicData>
            </a:graphic>
          </wp:inline>
        </w:drawing>
      </w:r>
    </w:p>
    <w:p w:rsidR="003F4D86" w:rsidRDefault="003F4D86" w:rsidP="003F4D86">
      <w:pPr>
        <w:rPr>
          <w:b w:val="0"/>
        </w:rPr>
      </w:pPr>
      <w:r>
        <w:rPr>
          <w:b w:val="0"/>
        </w:rPr>
        <w:lastRenderedPageBreak/>
        <w:t>OCHL</w:t>
      </w:r>
      <w:r w:rsidRPr="003F4D86">
        <w:rPr>
          <w:b w:val="0"/>
        </w:rPr>
        <w:t xml:space="preserve"> manages, monitors and reports on the principal risks and uncertainties that can impact our ability to deliver our str</w:t>
      </w:r>
      <w:r>
        <w:rPr>
          <w:b w:val="0"/>
        </w:rPr>
        <w:t>ategy.</w:t>
      </w:r>
    </w:p>
    <w:p w:rsidR="003F4D86" w:rsidRPr="003F4D86" w:rsidRDefault="003F4D86" w:rsidP="003F4D86">
      <w:pPr>
        <w:rPr>
          <w:b w:val="0"/>
        </w:rPr>
      </w:pPr>
    </w:p>
    <w:p w:rsidR="003F4D86" w:rsidRDefault="003F4D86" w:rsidP="003F4D86">
      <w:pPr>
        <w:rPr>
          <w:b w:val="0"/>
        </w:rPr>
      </w:pPr>
      <w:r w:rsidRPr="003F4D86">
        <w:rPr>
          <w:b w:val="0"/>
        </w:rPr>
        <w:t xml:space="preserve">Our </w:t>
      </w:r>
      <w:r>
        <w:rPr>
          <w:b w:val="0"/>
        </w:rPr>
        <w:t xml:space="preserve">present </w:t>
      </w:r>
      <w:r w:rsidRPr="003F4D86">
        <w:rPr>
          <w:b w:val="0"/>
        </w:rPr>
        <w:t xml:space="preserve">processes and </w:t>
      </w:r>
      <w:r>
        <w:rPr>
          <w:b w:val="0"/>
        </w:rPr>
        <w:t xml:space="preserve">system of </w:t>
      </w:r>
      <w:r w:rsidRPr="003F4D86">
        <w:rPr>
          <w:b w:val="0"/>
        </w:rPr>
        <w:t>internal control that governs h</w:t>
      </w:r>
      <w:r>
        <w:rPr>
          <w:b w:val="0"/>
        </w:rPr>
        <w:t>ow we conduct the business of OCHL may be in its infancy given the limited activity undertaken to date but we feel it is still fit for purpose and will inevitably grow and become more refined and focussed as the OCHL’s activities become greater in number and more complex in nature.</w:t>
      </w:r>
    </w:p>
    <w:p w:rsidR="003F4D86" w:rsidRPr="003F4D86" w:rsidRDefault="003F4D86" w:rsidP="003F4D86">
      <w:pPr>
        <w:rPr>
          <w:b w:val="0"/>
        </w:rPr>
      </w:pPr>
    </w:p>
    <w:p w:rsidR="003F4D86" w:rsidRDefault="003F4D86" w:rsidP="003F4D86">
      <w:pPr>
        <w:rPr>
          <w:b w:val="0"/>
        </w:rPr>
      </w:pPr>
      <w:r>
        <w:rPr>
          <w:b w:val="0"/>
        </w:rPr>
        <w:t>The current</w:t>
      </w:r>
      <w:r w:rsidRPr="003F4D86">
        <w:rPr>
          <w:b w:val="0"/>
        </w:rPr>
        <w:t xml:space="preserve"> risk management system </w:t>
      </w:r>
      <w:r>
        <w:rPr>
          <w:b w:val="0"/>
        </w:rPr>
        <w:t xml:space="preserve">adopted </w:t>
      </w:r>
      <w:r w:rsidRPr="003F4D86">
        <w:rPr>
          <w:b w:val="0"/>
        </w:rPr>
        <w:t xml:space="preserve">is designed to be a consistent and clear framework for managing and reporting risks from the group’s </w:t>
      </w:r>
      <w:r>
        <w:rPr>
          <w:b w:val="0"/>
        </w:rPr>
        <w:t xml:space="preserve">operations to </w:t>
      </w:r>
      <w:r w:rsidR="00B9730E">
        <w:rPr>
          <w:b w:val="0"/>
        </w:rPr>
        <w:t>the B</w:t>
      </w:r>
      <w:r w:rsidRPr="003F4D86">
        <w:rPr>
          <w:b w:val="0"/>
        </w:rPr>
        <w:t>oard. The system seeks to avoid incidents and maximize business outcomes by allowing</w:t>
      </w:r>
      <w:r>
        <w:rPr>
          <w:b w:val="0"/>
        </w:rPr>
        <w:t xml:space="preserve"> us to:</w:t>
      </w:r>
    </w:p>
    <w:p w:rsidR="003F4D86" w:rsidRDefault="003F4D86" w:rsidP="003F4D86">
      <w:pPr>
        <w:ind w:left="720"/>
        <w:rPr>
          <w:b w:val="0"/>
        </w:rPr>
      </w:pPr>
      <w:r w:rsidRPr="003F4D86">
        <w:rPr>
          <w:b w:val="0"/>
        </w:rPr>
        <w:t>• Understand the risk environment, identify the specific risks and asse</w:t>
      </w:r>
      <w:r>
        <w:rPr>
          <w:b w:val="0"/>
        </w:rPr>
        <w:t>ss the potential exposure for OCHL.</w:t>
      </w:r>
    </w:p>
    <w:p w:rsidR="003F4D86" w:rsidRDefault="003F4D86" w:rsidP="003F4D86">
      <w:pPr>
        <w:ind w:left="720"/>
        <w:rPr>
          <w:b w:val="0"/>
        </w:rPr>
      </w:pPr>
      <w:r w:rsidRPr="003F4D86">
        <w:rPr>
          <w:b w:val="0"/>
        </w:rPr>
        <w:t>• Determine how best to deal with these risks to man</w:t>
      </w:r>
      <w:r>
        <w:rPr>
          <w:b w:val="0"/>
        </w:rPr>
        <w:t>age overall potential exposure.</w:t>
      </w:r>
    </w:p>
    <w:p w:rsidR="003F4D86" w:rsidRDefault="003F4D86" w:rsidP="003F4D86">
      <w:pPr>
        <w:ind w:firstLine="720"/>
        <w:rPr>
          <w:b w:val="0"/>
        </w:rPr>
      </w:pPr>
      <w:r w:rsidRPr="003F4D86">
        <w:rPr>
          <w:b w:val="0"/>
        </w:rPr>
        <w:t>• Manage the identi</w:t>
      </w:r>
      <w:r>
        <w:rPr>
          <w:b w:val="0"/>
        </w:rPr>
        <w:t>fied risks in appropriate ways.</w:t>
      </w:r>
    </w:p>
    <w:p w:rsidR="003F4D86" w:rsidRDefault="003F4D86" w:rsidP="003F4D86">
      <w:pPr>
        <w:ind w:left="720"/>
        <w:rPr>
          <w:b w:val="0"/>
        </w:rPr>
      </w:pPr>
      <w:r w:rsidRPr="003F4D86">
        <w:rPr>
          <w:b w:val="0"/>
        </w:rPr>
        <w:t>• Monitor and seek assurance of the effectiveness of the management of these risks and intervene f</w:t>
      </w:r>
      <w:r>
        <w:rPr>
          <w:b w:val="0"/>
        </w:rPr>
        <w:t>or improvement where necessary.</w:t>
      </w:r>
    </w:p>
    <w:p w:rsidR="00565E40" w:rsidRDefault="003F4D86" w:rsidP="003F4D86">
      <w:pPr>
        <w:ind w:left="720"/>
        <w:rPr>
          <w:b w:val="0"/>
        </w:rPr>
      </w:pPr>
      <w:r w:rsidRPr="003F4D86">
        <w:rPr>
          <w:b w:val="0"/>
        </w:rPr>
        <w:t xml:space="preserve">• Report on how significant risks are being managed, monitored, assured and the improvements </w:t>
      </w:r>
      <w:r>
        <w:rPr>
          <w:b w:val="0"/>
        </w:rPr>
        <w:t xml:space="preserve">needed </w:t>
      </w:r>
      <w:r w:rsidRPr="003F4D86">
        <w:rPr>
          <w:b w:val="0"/>
        </w:rPr>
        <w:t>are being made.</w:t>
      </w:r>
    </w:p>
    <w:p w:rsidR="002D4F11" w:rsidRDefault="002D4F11" w:rsidP="003F4D86">
      <w:pPr>
        <w:ind w:left="720"/>
        <w:rPr>
          <w:b w:val="0"/>
        </w:rPr>
      </w:pPr>
    </w:p>
    <w:p w:rsidR="002D4F11" w:rsidRDefault="002D4F11" w:rsidP="002D4F11">
      <w:pPr>
        <w:pStyle w:val="Heading2"/>
        <w:rPr>
          <w:color w:val="005386"/>
        </w:rPr>
      </w:pPr>
      <w:r>
        <w:rPr>
          <w:color w:val="005386"/>
        </w:rPr>
        <w:t>Risk Process</w:t>
      </w:r>
    </w:p>
    <w:p w:rsidR="002D4F11" w:rsidRDefault="002D4F11" w:rsidP="002D4F11">
      <w:pPr>
        <w:rPr>
          <w:b w:val="0"/>
        </w:rPr>
      </w:pPr>
      <w:r w:rsidRPr="002D4F11">
        <w:rPr>
          <w:b w:val="0"/>
        </w:rPr>
        <w:t>We aim for a consist</w:t>
      </w:r>
      <w:r>
        <w:rPr>
          <w:b w:val="0"/>
        </w:rPr>
        <w:t>ent basis of measuring risk to:</w:t>
      </w:r>
    </w:p>
    <w:p w:rsidR="002D4F11" w:rsidRDefault="002D4F11" w:rsidP="002D4F11">
      <w:pPr>
        <w:rPr>
          <w:b w:val="0"/>
        </w:rPr>
      </w:pPr>
    </w:p>
    <w:p w:rsidR="002D4F11" w:rsidRDefault="002D4F11" w:rsidP="002D4F11">
      <w:pPr>
        <w:ind w:left="720"/>
        <w:rPr>
          <w:b w:val="0"/>
        </w:rPr>
      </w:pPr>
      <w:r w:rsidRPr="002D4F11">
        <w:rPr>
          <w:b w:val="0"/>
        </w:rPr>
        <w:t>• Establish a common understanding of risks on a like-for-like basis, taking into account p</w:t>
      </w:r>
      <w:r>
        <w:rPr>
          <w:b w:val="0"/>
        </w:rPr>
        <w:t>otential impact and likelihood.</w:t>
      </w:r>
    </w:p>
    <w:p w:rsidR="002D4F11" w:rsidRDefault="002D4F11" w:rsidP="002D4F11">
      <w:pPr>
        <w:ind w:left="720"/>
        <w:rPr>
          <w:b w:val="0"/>
        </w:rPr>
      </w:pPr>
      <w:r w:rsidRPr="002D4F11">
        <w:rPr>
          <w:b w:val="0"/>
        </w:rPr>
        <w:t xml:space="preserve">• Report risks </w:t>
      </w:r>
      <w:r>
        <w:rPr>
          <w:b w:val="0"/>
        </w:rPr>
        <w:t>to the current Board.</w:t>
      </w:r>
    </w:p>
    <w:p w:rsidR="002D4F11" w:rsidRDefault="002D4F11" w:rsidP="002D4F11">
      <w:pPr>
        <w:ind w:left="720"/>
        <w:rPr>
          <w:b w:val="0"/>
        </w:rPr>
      </w:pPr>
      <w:r>
        <w:rPr>
          <w:b w:val="0"/>
        </w:rPr>
        <w:t>• Inform the ranking</w:t>
      </w:r>
      <w:r w:rsidRPr="002D4F11">
        <w:rPr>
          <w:b w:val="0"/>
        </w:rPr>
        <w:t xml:space="preserve"> of specific risk management activities </w:t>
      </w:r>
      <w:r>
        <w:rPr>
          <w:b w:val="0"/>
        </w:rPr>
        <w:t>to the Board to en</w:t>
      </w:r>
      <w:r w:rsidRPr="002D4F11">
        <w:rPr>
          <w:b w:val="0"/>
        </w:rPr>
        <w:t xml:space="preserve">able key decisions to be risk informed. </w:t>
      </w:r>
    </w:p>
    <w:p w:rsidR="002D4F11" w:rsidRDefault="002D4F11" w:rsidP="002D4F11">
      <w:pPr>
        <w:ind w:left="720"/>
        <w:rPr>
          <w:b w:val="0"/>
        </w:rPr>
      </w:pPr>
    </w:p>
    <w:p w:rsidR="002D4F11" w:rsidRDefault="002D4F11" w:rsidP="002D4F11">
      <w:pPr>
        <w:ind w:left="720"/>
        <w:rPr>
          <w:b w:val="0"/>
        </w:rPr>
      </w:pPr>
    </w:p>
    <w:p w:rsidR="002D4F11" w:rsidRDefault="002D4F11" w:rsidP="002D4F11">
      <w:pPr>
        <w:pStyle w:val="Heading2"/>
        <w:rPr>
          <w:b/>
          <w:color w:val="005386"/>
        </w:rPr>
      </w:pPr>
      <w:r>
        <w:rPr>
          <w:b/>
          <w:color w:val="005386"/>
        </w:rPr>
        <w:lastRenderedPageBreak/>
        <w:t>Board of Directors</w:t>
      </w:r>
    </w:p>
    <w:p w:rsidR="002D4F11" w:rsidRDefault="007E02F4" w:rsidP="002D4F11">
      <w:pPr>
        <w:pStyle w:val="Heading2"/>
        <w:rPr>
          <w:color w:val="005386"/>
        </w:rPr>
      </w:pPr>
      <w:r>
        <w:rPr>
          <w:color w:val="005386"/>
        </w:rPr>
        <w:t>Board Members</w:t>
      </w:r>
      <w:r w:rsidR="00B30C7F">
        <w:rPr>
          <w:color w:val="005386"/>
        </w:rPr>
        <w:t xml:space="preserve"> (2018/19)</w:t>
      </w:r>
    </w:p>
    <w:p w:rsidR="00B44BE7" w:rsidRDefault="00296B27" w:rsidP="00B44BE7">
      <w:pPr>
        <w:rPr>
          <w:b w:val="0"/>
        </w:rPr>
      </w:pPr>
      <w:r>
        <w:rPr>
          <w:b w:val="0"/>
          <w:noProof/>
          <w:lang w:eastAsia="en-GB"/>
        </w:rPr>
        <w:drawing>
          <wp:inline distT="0" distB="0" distL="0" distR="0">
            <wp:extent cx="5486400" cy="3200400"/>
            <wp:effectExtent l="0" t="38100" r="0" b="34290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7E02F4" w:rsidRDefault="007E02F4" w:rsidP="00B44BE7">
      <w:pPr>
        <w:rPr>
          <w:b w:val="0"/>
        </w:rPr>
      </w:pPr>
      <w:r>
        <w:rPr>
          <w:b w:val="0"/>
        </w:rPr>
        <w:t>In addition there are number of regular Board advisors, namely Alan Wylde (Development), David Watt (Finance) and Catherine Phythian (Secretariat).</w:t>
      </w:r>
    </w:p>
    <w:p w:rsidR="007E02F4" w:rsidRDefault="007E02F4" w:rsidP="00B44BE7">
      <w:pPr>
        <w:rPr>
          <w:b w:val="0"/>
        </w:rPr>
      </w:pPr>
    </w:p>
    <w:p w:rsidR="007E02F4" w:rsidRDefault="007E02F4" w:rsidP="007E02F4">
      <w:pPr>
        <w:pStyle w:val="Heading2"/>
        <w:rPr>
          <w:color w:val="005386"/>
        </w:rPr>
      </w:pPr>
      <w:r>
        <w:rPr>
          <w:color w:val="005386"/>
        </w:rPr>
        <w:t>Board Activity 2018-19</w:t>
      </w:r>
    </w:p>
    <w:tbl>
      <w:tblPr>
        <w:tblStyle w:val="LightShading-Accent12"/>
        <w:tblW w:w="0" w:type="auto"/>
        <w:tblLook w:val="04A0" w:firstRow="1" w:lastRow="0" w:firstColumn="1" w:lastColumn="0" w:noHBand="0" w:noVBand="1"/>
      </w:tblPr>
      <w:tblGrid>
        <w:gridCol w:w="3309"/>
        <w:gridCol w:w="3309"/>
        <w:gridCol w:w="3310"/>
      </w:tblGrid>
      <w:tr w:rsidR="009E1B24" w:rsidTr="009E1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tcPr>
          <w:p w:rsidR="009E1B24" w:rsidRDefault="009E1B24" w:rsidP="00B44BE7">
            <w:pPr>
              <w:rPr>
                <w:b/>
              </w:rPr>
            </w:pPr>
            <w:r>
              <w:rPr>
                <w:b/>
              </w:rPr>
              <w:t>Name</w:t>
            </w:r>
          </w:p>
        </w:tc>
        <w:tc>
          <w:tcPr>
            <w:tcW w:w="3309" w:type="dxa"/>
          </w:tcPr>
          <w:p w:rsidR="009E1B24" w:rsidRDefault="009E1B24" w:rsidP="00B44BE7">
            <w:pPr>
              <w:cnfStyle w:val="100000000000" w:firstRow="1" w:lastRow="0" w:firstColumn="0" w:lastColumn="0" w:oddVBand="0" w:evenVBand="0" w:oddHBand="0" w:evenHBand="0" w:firstRowFirstColumn="0" w:firstRowLastColumn="0" w:lastRowFirstColumn="0" w:lastRowLastColumn="0"/>
              <w:rPr>
                <w:b/>
              </w:rPr>
            </w:pPr>
            <w:r>
              <w:rPr>
                <w:b/>
              </w:rPr>
              <w:t>Appointed</w:t>
            </w:r>
          </w:p>
        </w:tc>
        <w:tc>
          <w:tcPr>
            <w:tcW w:w="3310" w:type="dxa"/>
          </w:tcPr>
          <w:p w:rsidR="009E1B24" w:rsidRDefault="009E1B24" w:rsidP="00B44BE7">
            <w:pPr>
              <w:cnfStyle w:val="100000000000" w:firstRow="1" w:lastRow="0" w:firstColumn="0" w:lastColumn="0" w:oddVBand="0" w:evenVBand="0" w:oddHBand="0" w:evenHBand="0" w:firstRowFirstColumn="0" w:firstRowLastColumn="0" w:lastRowFirstColumn="0" w:lastRowLastColumn="0"/>
              <w:rPr>
                <w:b/>
              </w:rPr>
            </w:pPr>
            <w:r>
              <w:rPr>
                <w:b/>
              </w:rPr>
              <w:t>Resigned</w:t>
            </w:r>
          </w:p>
        </w:tc>
      </w:tr>
      <w:tr w:rsidR="009E1B24" w:rsidTr="009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tcPr>
          <w:p w:rsidR="009E1B24" w:rsidRPr="009E1B24" w:rsidRDefault="009E1B24" w:rsidP="00B44BE7">
            <w:r>
              <w:t>Jaqueline Yates</w:t>
            </w:r>
          </w:p>
        </w:tc>
        <w:tc>
          <w:tcPr>
            <w:tcW w:w="3309" w:type="dxa"/>
          </w:tcPr>
          <w:p w:rsidR="009E1B24" w:rsidRDefault="009E1B24" w:rsidP="00B44BE7">
            <w:pPr>
              <w:cnfStyle w:val="000000100000" w:firstRow="0" w:lastRow="0" w:firstColumn="0" w:lastColumn="0" w:oddVBand="0" w:evenVBand="0" w:oddHBand="1" w:evenHBand="0" w:firstRowFirstColumn="0" w:firstRowLastColumn="0" w:lastRowFirstColumn="0" w:lastRowLastColumn="0"/>
              <w:rPr>
                <w:b w:val="0"/>
              </w:rPr>
            </w:pPr>
            <w:r>
              <w:rPr>
                <w:b w:val="0"/>
              </w:rPr>
              <w:t>03 June 2016</w:t>
            </w:r>
          </w:p>
        </w:tc>
        <w:tc>
          <w:tcPr>
            <w:tcW w:w="3310" w:type="dxa"/>
          </w:tcPr>
          <w:p w:rsidR="009E1B24" w:rsidRDefault="009E1B24" w:rsidP="00B44BE7">
            <w:pPr>
              <w:cnfStyle w:val="000000100000" w:firstRow="0" w:lastRow="0" w:firstColumn="0" w:lastColumn="0" w:oddVBand="0" w:evenVBand="0" w:oddHBand="1" w:evenHBand="0" w:firstRowFirstColumn="0" w:firstRowLastColumn="0" w:lastRowFirstColumn="0" w:lastRowLastColumn="0"/>
              <w:rPr>
                <w:b w:val="0"/>
              </w:rPr>
            </w:pPr>
            <w:r>
              <w:rPr>
                <w:b w:val="0"/>
              </w:rPr>
              <w:t>19 June 2018</w:t>
            </w:r>
          </w:p>
        </w:tc>
      </w:tr>
      <w:tr w:rsidR="009E1B24" w:rsidTr="009E1B24">
        <w:tc>
          <w:tcPr>
            <w:cnfStyle w:val="001000000000" w:firstRow="0" w:lastRow="0" w:firstColumn="1" w:lastColumn="0" w:oddVBand="0" w:evenVBand="0" w:oddHBand="0" w:evenHBand="0" w:firstRowFirstColumn="0" w:firstRowLastColumn="0" w:lastRowFirstColumn="0" w:lastRowLastColumn="0"/>
            <w:tcW w:w="3309" w:type="dxa"/>
          </w:tcPr>
          <w:p w:rsidR="009E1B24" w:rsidRPr="009E1B24" w:rsidRDefault="009E1B24" w:rsidP="009E1B24">
            <w:r w:rsidRPr="009E1B24">
              <w:t>Stephen Clarke</w:t>
            </w:r>
          </w:p>
        </w:tc>
        <w:tc>
          <w:tcPr>
            <w:tcW w:w="3309" w:type="dxa"/>
          </w:tcPr>
          <w:p w:rsidR="009E1B24" w:rsidRDefault="009E1B24" w:rsidP="009E1B24">
            <w:pPr>
              <w:cnfStyle w:val="000000000000" w:firstRow="0" w:lastRow="0" w:firstColumn="0" w:lastColumn="0" w:oddVBand="0" w:evenVBand="0" w:oddHBand="0" w:evenHBand="0" w:firstRowFirstColumn="0" w:firstRowLastColumn="0" w:lastRowFirstColumn="0" w:lastRowLastColumn="0"/>
              <w:rPr>
                <w:b w:val="0"/>
              </w:rPr>
            </w:pPr>
            <w:r>
              <w:rPr>
                <w:b w:val="0"/>
              </w:rPr>
              <w:t>03 June 2016</w:t>
            </w:r>
          </w:p>
        </w:tc>
        <w:tc>
          <w:tcPr>
            <w:tcW w:w="3310" w:type="dxa"/>
          </w:tcPr>
          <w:p w:rsidR="009E1B24" w:rsidRDefault="009E1B24" w:rsidP="009E1B24">
            <w:pPr>
              <w:cnfStyle w:val="000000000000" w:firstRow="0" w:lastRow="0" w:firstColumn="0" w:lastColumn="0" w:oddVBand="0" w:evenVBand="0" w:oddHBand="0" w:evenHBand="0" w:firstRowFirstColumn="0" w:firstRowLastColumn="0" w:lastRowFirstColumn="0" w:lastRowLastColumn="0"/>
              <w:rPr>
                <w:b w:val="0"/>
              </w:rPr>
            </w:pPr>
            <w:r>
              <w:rPr>
                <w:b w:val="0"/>
              </w:rPr>
              <w:t>-</w:t>
            </w:r>
          </w:p>
        </w:tc>
      </w:tr>
      <w:tr w:rsidR="009E1B24" w:rsidTr="009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tcPr>
          <w:p w:rsidR="009E1B24" w:rsidRPr="009E1B24" w:rsidRDefault="009E1B24" w:rsidP="009E1B24">
            <w:r>
              <w:t>Jane Winfield</w:t>
            </w:r>
          </w:p>
        </w:tc>
        <w:tc>
          <w:tcPr>
            <w:tcW w:w="3309" w:type="dxa"/>
          </w:tcPr>
          <w:p w:rsidR="009E1B24" w:rsidRDefault="009E1B24" w:rsidP="009E1B24">
            <w:pPr>
              <w:cnfStyle w:val="000000100000" w:firstRow="0" w:lastRow="0" w:firstColumn="0" w:lastColumn="0" w:oddVBand="0" w:evenVBand="0" w:oddHBand="1" w:evenHBand="0" w:firstRowFirstColumn="0" w:firstRowLastColumn="0" w:lastRowFirstColumn="0" w:lastRowLastColumn="0"/>
              <w:rPr>
                <w:b w:val="0"/>
              </w:rPr>
            </w:pPr>
            <w:r>
              <w:rPr>
                <w:b w:val="0"/>
              </w:rPr>
              <w:t>01 February 2018</w:t>
            </w:r>
          </w:p>
        </w:tc>
        <w:tc>
          <w:tcPr>
            <w:tcW w:w="3310" w:type="dxa"/>
          </w:tcPr>
          <w:p w:rsidR="009E1B24" w:rsidRDefault="009E1B24" w:rsidP="009E1B24">
            <w:pPr>
              <w:cnfStyle w:val="000000100000" w:firstRow="0" w:lastRow="0" w:firstColumn="0" w:lastColumn="0" w:oddVBand="0" w:evenVBand="0" w:oddHBand="1" w:evenHBand="0" w:firstRowFirstColumn="0" w:firstRowLastColumn="0" w:lastRowFirstColumn="0" w:lastRowLastColumn="0"/>
              <w:rPr>
                <w:b w:val="0"/>
              </w:rPr>
            </w:pPr>
            <w:r>
              <w:rPr>
                <w:b w:val="0"/>
              </w:rPr>
              <w:t>-</w:t>
            </w:r>
          </w:p>
        </w:tc>
      </w:tr>
      <w:tr w:rsidR="009E1B24" w:rsidTr="009E1B24">
        <w:tc>
          <w:tcPr>
            <w:cnfStyle w:val="001000000000" w:firstRow="0" w:lastRow="0" w:firstColumn="1" w:lastColumn="0" w:oddVBand="0" w:evenVBand="0" w:oddHBand="0" w:evenHBand="0" w:firstRowFirstColumn="0" w:firstRowLastColumn="0" w:lastRowFirstColumn="0" w:lastRowLastColumn="0"/>
            <w:tcW w:w="3309" w:type="dxa"/>
          </w:tcPr>
          <w:p w:rsidR="009E1B24" w:rsidRPr="009E1B24" w:rsidRDefault="009E1B24" w:rsidP="009E1B24">
            <w:r>
              <w:t>Lindsay Cane</w:t>
            </w:r>
          </w:p>
        </w:tc>
        <w:tc>
          <w:tcPr>
            <w:tcW w:w="3309" w:type="dxa"/>
          </w:tcPr>
          <w:p w:rsidR="009E1B24" w:rsidRDefault="009E1B24" w:rsidP="009E1B24">
            <w:pPr>
              <w:cnfStyle w:val="000000000000" w:firstRow="0" w:lastRow="0" w:firstColumn="0" w:lastColumn="0" w:oddVBand="0" w:evenVBand="0" w:oddHBand="0" w:evenHBand="0" w:firstRowFirstColumn="0" w:firstRowLastColumn="0" w:lastRowFirstColumn="0" w:lastRowLastColumn="0"/>
              <w:rPr>
                <w:b w:val="0"/>
              </w:rPr>
            </w:pPr>
            <w:r>
              <w:rPr>
                <w:b w:val="0"/>
              </w:rPr>
              <w:t>18 January 2017</w:t>
            </w:r>
          </w:p>
        </w:tc>
        <w:tc>
          <w:tcPr>
            <w:tcW w:w="3310" w:type="dxa"/>
          </w:tcPr>
          <w:p w:rsidR="009E1B24" w:rsidRDefault="009E1B24" w:rsidP="009E1B24">
            <w:pPr>
              <w:cnfStyle w:val="000000000000" w:firstRow="0" w:lastRow="0" w:firstColumn="0" w:lastColumn="0" w:oddVBand="0" w:evenVBand="0" w:oddHBand="0" w:evenHBand="0" w:firstRowFirstColumn="0" w:firstRowLastColumn="0" w:lastRowFirstColumn="0" w:lastRowLastColumn="0"/>
              <w:rPr>
                <w:b w:val="0"/>
              </w:rPr>
            </w:pPr>
            <w:r>
              <w:rPr>
                <w:b w:val="0"/>
              </w:rPr>
              <w:t>-</w:t>
            </w:r>
          </w:p>
        </w:tc>
      </w:tr>
    </w:tbl>
    <w:p w:rsidR="002D4F11" w:rsidRDefault="002D4F11" w:rsidP="00B44BE7">
      <w:pPr>
        <w:rPr>
          <w:b w:val="0"/>
        </w:rPr>
      </w:pPr>
    </w:p>
    <w:p w:rsidR="009E1B24" w:rsidRDefault="009E1B24" w:rsidP="00B44BE7">
      <w:pPr>
        <w:rPr>
          <w:b w:val="0"/>
        </w:rPr>
      </w:pPr>
    </w:p>
    <w:p w:rsidR="009E1B24" w:rsidRDefault="009E1B24" w:rsidP="00B44BE7">
      <w:pPr>
        <w:rPr>
          <w:b w:val="0"/>
        </w:rPr>
      </w:pPr>
    </w:p>
    <w:p w:rsidR="009E1B24" w:rsidRDefault="009E1B24" w:rsidP="00B44BE7">
      <w:pPr>
        <w:rPr>
          <w:b w:val="0"/>
        </w:rPr>
      </w:pPr>
    </w:p>
    <w:p w:rsidR="009E1B24" w:rsidRDefault="009E1B24" w:rsidP="00B44BE7">
      <w:pPr>
        <w:rPr>
          <w:b w:val="0"/>
        </w:rPr>
      </w:pPr>
    </w:p>
    <w:p w:rsidR="009E1B24" w:rsidRDefault="009E1B24" w:rsidP="00B44BE7">
      <w:pPr>
        <w:rPr>
          <w:b w:val="0"/>
        </w:rPr>
      </w:pPr>
    </w:p>
    <w:p w:rsidR="009E1B24" w:rsidRDefault="009E1B24" w:rsidP="00B44BE7">
      <w:pPr>
        <w:rPr>
          <w:b w:val="0"/>
        </w:rPr>
      </w:pPr>
    </w:p>
    <w:p w:rsidR="009E1B24" w:rsidRDefault="009E1B24" w:rsidP="009E1B24">
      <w:pPr>
        <w:pStyle w:val="Heading2"/>
        <w:rPr>
          <w:b/>
          <w:color w:val="005386"/>
        </w:rPr>
      </w:pPr>
      <w:r>
        <w:rPr>
          <w:b/>
          <w:color w:val="005386"/>
        </w:rPr>
        <w:lastRenderedPageBreak/>
        <w:t>Group Financial Statements 2018-19</w:t>
      </w:r>
    </w:p>
    <w:p w:rsidR="00A873C2" w:rsidRPr="000349B6" w:rsidRDefault="00A873C2" w:rsidP="00A873C2">
      <w:pPr>
        <w:pStyle w:val="Heading2"/>
        <w:rPr>
          <w:color w:val="005386"/>
          <w:sz w:val="32"/>
          <w:szCs w:val="32"/>
          <w:u w:val="single"/>
        </w:rPr>
      </w:pPr>
      <w:r>
        <w:rPr>
          <w:color w:val="005386"/>
          <w:sz w:val="32"/>
          <w:szCs w:val="32"/>
          <w:u w:val="single"/>
        </w:rPr>
        <w:t>Independent Auditor’s Report</w:t>
      </w:r>
    </w:p>
    <w:p w:rsidR="00A873C2" w:rsidRDefault="00B70A65" w:rsidP="000349B6">
      <w:pPr>
        <w:pStyle w:val="Heading2"/>
        <w:rPr>
          <w:color w:val="auto"/>
          <w:sz w:val="28"/>
          <w:szCs w:val="28"/>
        </w:rPr>
      </w:pPr>
      <w:r>
        <w:rPr>
          <w:color w:val="auto"/>
          <w:sz w:val="28"/>
          <w:szCs w:val="28"/>
        </w:rPr>
        <w:t xml:space="preserve">The </w:t>
      </w:r>
      <w:r w:rsidR="007431BC">
        <w:rPr>
          <w:color w:val="auto"/>
          <w:sz w:val="28"/>
          <w:szCs w:val="28"/>
        </w:rPr>
        <w:t>company’s external auditors, Mazar’s, were formally appointed at the 20</w:t>
      </w:r>
      <w:r w:rsidR="007431BC" w:rsidRPr="007431BC">
        <w:rPr>
          <w:color w:val="auto"/>
          <w:sz w:val="28"/>
          <w:szCs w:val="28"/>
          <w:vertAlign w:val="superscript"/>
        </w:rPr>
        <w:t>th</w:t>
      </w:r>
      <w:r w:rsidR="007431BC">
        <w:rPr>
          <w:color w:val="auto"/>
          <w:sz w:val="28"/>
          <w:szCs w:val="28"/>
        </w:rPr>
        <w:t xml:space="preserve"> March 2018 Shareholder meeting, on an initial 5 year contract.</w:t>
      </w:r>
    </w:p>
    <w:p w:rsidR="007431BC" w:rsidRPr="00F62F70" w:rsidRDefault="007431BC" w:rsidP="007431BC">
      <w:pPr>
        <w:rPr>
          <w:b w:val="0"/>
          <w:color w:val="auto"/>
        </w:rPr>
      </w:pPr>
      <w:r w:rsidRPr="00F62F70">
        <w:rPr>
          <w:b w:val="0"/>
          <w:color w:val="auto"/>
        </w:rPr>
        <w:t xml:space="preserve">They </w:t>
      </w:r>
      <w:r w:rsidR="00CD29D1">
        <w:rPr>
          <w:b w:val="0"/>
          <w:color w:val="auto"/>
        </w:rPr>
        <w:t>have</w:t>
      </w:r>
      <w:r w:rsidR="00541569">
        <w:rPr>
          <w:b w:val="0"/>
          <w:color w:val="auto"/>
        </w:rPr>
        <w:t xml:space="preserve"> </w:t>
      </w:r>
      <w:r w:rsidRPr="00F62F70">
        <w:rPr>
          <w:b w:val="0"/>
          <w:color w:val="auto"/>
        </w:rPr>
        <w:t>complet</w:t>
      </w:r>
      <w:r w:rsidR="00CD29D1">
        <w:rPr>
          <w:b w:val="0"/>
          <w:color w:val="auto"/>
        </w:rPr>
        <w:t>ed</w:t>
      </w:r>
      <w:r w:rsidRPr="00F62F70">
        <w:rPr>
          <w:b w:val="0"/>
          <w:color w:val="auto"/>
        </w:rPr>
        <w:t xml:space="preserve"> their audit for the 201</w:t>
      </w:r>
      <w:r w:rsidR="00541569">
        <w:rPr>
          <w:b w:val="0"/>
          <w:color w:val="auto"/>
        </w:rPr>
        <w:t>8/19</w:t>
      </w:r>
      <w:r w:rsidRPr="00F62F70">
        <w:rPr>
          <w:b w:val="0"/>
          <w:color w:val="auto"/>
        </w:rPr>
        <w:t xml:space="preserve"> financial year and </w:t>
      </w:r>
      <w:r w:rsidR="00CD29D1">
        <w:rPr>
          <w:b w:val="0"/>
          <w:color w:val="auto"/>
        </w:rPr>
        <w:t xml:space="preserve">have again provided </w:t>
      </w:r>
      <w:r w:rsidRPr="00F62F70">
        <w:rPr>
          <w:b w:val="0"/>
          <w:color w:val="auto"/>
        </w:rPr>
        <w:t>an unqualified audit opinion.</w:t>
      </w:r>
    </w:p>
    <w:p w:rsidR="007431BC" w:rsidRPr="00F62F70" w:rsidRDefault="007431BC" w:rsidP="007431BC">
      <w:pPr>
        <w:rPr>
          <w:b w:val="0"/>
          <w:color w:val="auto"/>
        </w:rPr>
      </w:pPr>
    </w:p>
    <w:p w:rsidR="00F62F70" w:rsidRDefault="00F62F70" w:rsidP="007431BC">
      <w:pPr>
        <w:rPr>
          <w:b w:val="0"/>
          <w:color w:val="auto"/>
        </w:rPr>
      </w:pPr>
      <w:r>
        <w:rPr>
          <w:b w:val="0"/>
          <w:color w:val="auto"/>
        </w:rPr>
        <w:t>The following pages, in keeping with the layout as presented previously when reporting new Business Plan updates, attempts to display the consolidated financial position and performance of the OCHL group for 2018/19.</w:t>
      </w:r>
    </w:p>
    <w:p w:rsidR="00CD29D1" w:rsidRDefault="00CD29D1" w:rsidP="007431BC">
      <w:pPr>
        <w:rPr>
          <w:b w:val="0"/>
          <w:color w:val="auto"/>
        </w:rPr>
      </w:pPr>
    </w:p>
    <w:p w:rsidR="00CD29D1" w:rsidRDefault="00CD29D1" w:rsidP="007431BC">
      <w:pPr>
        <w:rPr>
          <w:b w:val="0"/>
          <w:color w:val="auto"/>
        </w:rPr>
      </w:pPr>
      <w:r>
        <w:rPr>
          <w:b w:val="0"/>
          <w:color w:val="auto"/>
        </w:rPr>
        <w:t>On behalf of the Board we would like to thank Mazar’s for the</w:t>
      </w:r>
      <w:r w:rsidR="00452CD9">
        <w:rPr>
          <w:b w:val="0"/>
          <w:color w:val="auto"/>
        </w:rPr>
        <w:t>ir</w:t>
      </w:r>
      <w:r>
        <w:rPr>
          <w:b w:val="0"/>
          <w:color w:val="auto"/>
        </w:rPr>
        <w:t xml:space="preserve"> continued support and work they undertake as our independent auditors and the commentary and guidance they have provided in this role. We value their extensive housing company experience and seek to build on the positive </w:t>
      </w:r>
      <w:r w:rsidR="00452CD9">
        <w:rPr>
          <w:b w:val="0"/>
          <w:color w:val="auto"/>
        </w:rPr>
        <w:t>relationship established to date. Their clean bill of health for the 2018/19 year is extremely re-assuring and welcome.</w:t>
      </w:r>
    </w:p>
    <w:p w:rsidR="00F62F70" w:rsidRDefault="00F62F70" w:rsidP="007431BC">
      <w:pPr>
        <w:rPr>
          <w:b w:val="0"/>
          <w:color w:val="auto"/>
        </w:rPr>
      </w:pPr>
    </w:p>
    <w:p w:rsidR="00A873C2" w:rsidRDefault="00A873C2" w:rsidP="000349B6">
      <w:pPr>
        <w:pStyle w:val="Heading2"/>
        <w:rPr>
          <w:color w:val="005386"/>
          <w:sz w:val="32"/>
          <w:szCs w:val="32"/>
          <w:u w:val="single"/>
        </w:rPr>
      </w:pPr>
    </w:p>
    <w:p w:rsidR="003063F5" w:rsidRDefault="003063F5" w:rsidP="003063F5"/>
    <w:p w:rsidR="003063F5" w:rsidRDefault="003063F5" w:rsidP="003063F5"/>
    <w:p w:rsidR="003063F5" w:rsidRDefault="003063F5" w:rsidP="003063F5"/>
    <w:p w:rsidR="003063F5" w:rsidRDefault="003063F5" w:rsidP="003063F5"/>
    <w:p w:rsidR="003063F5" w:rsidRDefault="003063F5" w:rsidP="003063F5"/>
    <w:p w:rsidR="003063F5" w:rsidRDefault="003063F5" w:rsidP="003063F5"/>
    <w:p w:rsidR="003063F5" w:rsidRDefault="003063F5" w:rsidP="003063F5"/>
    <w:p w:rsidR="003063F5" w:rsidRDefault="003063F5" w:rsidP="003063F5"/>
    <w:p w:rsidR="003063F5" w:rsidRDefault="003063F5" w:rsidP="003063F5"/>
    <w:p w:rsidR="003063F5" w:rsidRDefault="003063F5" w:rsidP="003063F5"/>
    <w:p w:rsidR="003063F5" w:rsidRPr="003063F5" w:rsidRDefault="003063F5" w:rsidP="003063F5"/>
    <w:p w:rsidR="000349B6" w:rsidRDefault="00656305" w:rsidP="000349B6">
      <w:pPr>
        <w:pStyle w:val="Heading2"/>
        <w:rPr>
          <w:color w:val="005386"/>
          <w:sz w:val="32"/>
          <w:szCs w:val="32"/>
          <w:u w:val="single"/>
        </w:rPr>
      </w:pPr>
      <w:r>
        <w:rPr>
          <w:color w:val="005386"/>
          <w:sz w:val="32"/>
          <w:szCs w:val="32"/>
          <w:u w:val="single"/>
        </w:rPr>
        <w:lastRenderedPageBreak/>
        <w:t xml:space="preserve">Group </w:t>
      </w:r>
      <w:r w:rsidR="009E1B24" w:rsidRPr="000349B6">
        <w:rPr>
          <w:color w:val="005386"/>
          <w:sz w:val="32"/>
          <w:szCs w:val="32"/>
          <w:u w:val="single"/>
        </w:rPr>
        <w:t xml:space="preserve">Statement of </w:t>
      </w:r>
      <w:r w:rsidR="00B36627">
        <w:rPr>
          <w:color w:val="005386"/>
          <w:sz w:val="32"/>
          <w:szCs w:val="32"/>
          <w:u w:val="single"/>
        </w:rPr>
        <w:t>Financial Position</w:t>
      </w:r>
    </w:p>
    <w:p w:rsidR="00656305" w:rsidRDefault="00656305" w:rsidP="00656305">
      <w:pPr>
        <w:pStyle w:val="Heading2"/>
        <w:rPr>
          <w:color w:val="005386"/>
          <w:sz w:val="24"/>
          <w:szCs w:val="24"/>
        </w:rPr>
      </w:pPr>
      <w:r w:rsidRPr="00656305">
        <w:rPr>
          <w:color w:val="005386"/>
          <w:sz w:val="24"/>
          <w:szCs w:val="24"/>
        </w:rPr>
        <w:t>For the year ended 31 March</w:t>
      </w:r>
    </w:p>
    <w:tbl>
      <w:tblPr>
        <w:tblStyle w:val="MediumShading2-Accent5"/>
        <w:tblW w:w="5000" w:type="pct"/>
        <w:tblLook w:val="0660" w:firstRow="1" w:lastRow="1" w:firstColumn="0" w:lastColumn="0" w:noHBand="1" w:noVBand="1"/>
      </w:tblPr>
      <w:tblGrid>
        <w:gridCol w:w="6273"/>
        <w:gridCol w:w="1489"/>
        <w:gridCol w:w="1586"/>
        <w:gridCol w:w="806"/>
      </w:tblGrid>
      <w:tr w:rsidR="00B36627" w:rsidTr="008A4F4A">
        <w:trPr>
          <w:cnfStyle w:val="100000000000" w:firstRow="1" w:lastRow="0" w:firstColumn="0" w:lastColumn="0" w:oddVBand="0" w:evenVBand="0" w:oddHBand="0" w:evenHBand="0" w:firstRowFirstColumn="0" w:firstRowLastColumn="0" w:lastRowFirstColumn="0" w:lastRowLastColumn="0"/>
        </w:trPr>
        <w:tc>
          <w:tcPr>
            <w:tcW w:w="3089" w:type="pct"/>
            <w:shd w:val="clear" w:color="auto" w:fill="0070C0"/>
            <w:noWrap/>
          </w:tcPr>
          <w:p w:rsidR="00B36627" w:rsidRPr="000349B6" w:rsidRDefault="00B36627" w:rsidP="008A4F4A">
            <w:pPr>
              <w:rPr>
                <w:b/>
                <w:color w:val="FFFFFF" w:themeColor="background1"/>
              </w:rPr>
            </w:pPr>
          </w:p>
        </w:tc>
        <w:tc>
          <w:tcPr>
            <w:tcW w:w="733" w:type="pct"/>
            <w:shd w:val="clear" w:color="auto" w:fill="0070C0"/>
          </w:tcPr>
          <w:p w:rsidR="00B36627" w:rsidRPr="000349B6" w:rsidRDefault="00B36627" w:rsidP="008A4F4A">
            <w:pPr>
              <w:jc w:val="right"/>
              <w:rPr>
                <w:b/>
                <w:color w:val="FFFFFF" w:themeColor="background1"/>
              </w:rPr>
            </w:pPr>
            <w:r>
              <w:rPr>
                <w:b/>
                <w:color w:val="FFFFFF" w:themeColor="background1"/>
              </w:rPr>
              <w:t>2018/19</w:t>
            </w:r>
          </w:p>
        </w:tc>
        <w:tc>
          <w:tcPr>
            <w:tcW w:w="781" w:type="pct"/>
            <w:shd w:val="clear" w:color="auto" w:fill="0070C0"/>
          </w:tcPr>
          <w:p w:rsidR="00B36627" w:rsidRPr="000349B6" w:rsidRDefault="00B36627" w:rsidP="008A4F4A">
            <w:pPr>
              <w:jc w:val="right"/>
              <w:rPr>
                <w:b/>
                <w:color w:val="FFFFFF" w:themeColor="background1"/>
              </w:rPr>
            </w:pPr>
            <w:r>
              <w:rPr>
                <w:b/>
                <w:color w:val="FFFFFF" w:themeColor="background1"/>
              </w:rPr>
              <w:t>2017/18</w:t>
            </w:r>
          </w:p>
        </w:tc>
        <w:tc>
          <w:tcPr>
            <w:tcW w:w="397" w:type="pct"/>
            <w:shd w:val="clear" w:color="auto" w:fill="0070C0"/>
          </w:tcPr>
          <w:p w:rsidR="00B36627" w:rsidRPr="000349B6" w:rsidRDefault="00B36627" w:rsidP="008A4F4A">
            <w:pPr>
              <w:jc w:val="center"/>
              <w:rPr>
                <w:b/>
                <w:color w:val="FFFFFF" w:themeColor="background1"/>
              </w:rPr>
            </w:pPr>
            <w:r>
              <w:rPr>
                <w:b/>
                <w:color w:val="FFFFFF" w:themeColor="background1"/>
              </w:rPr>
              <w:t>Note</w:t>
            </w:r>
          </w:p>
        </w:tc>
      </w:tr>
      <w:tr w:rsidR="00B36627" w:rsidRPr="00980D80" w:rsidTr="008A4F4A">
        <w:tc>
          <w:tcPr>
            <w:tcW w:w="3089" w:type="pct"/>
            <w:noWrap/>
          </w:tcPr>
          <w:p w:rsidR="00B36627" w:rsidRPr="00980D80" w:rsidRDefault="00B36627" w:rsidP="008A4F4A">
            <w:pPr>
              <w:rPr>
                <w:sz w:val="22"/>
              </w:rPr>
            </w:pPr>
            <w:r>
              <w:rPr>
                <w:sz w:val="22"/>
              </w:rPr>
              <w:t>Assets</w:t>
            </w:r>
          </w:p>
        </w:tc>
        <w:tc>
          <w:tcPr>
            <w:tcW w:w="733" w:type="pct"/>
          </w:tcPr>
          <w:p w:rsidR="00B36627" w:rsidRPr="00980D80" w:rsidRDefault="00B36627" w:rsidP="008A4F4A">
            <w:pPr>
              <w:jc w:val="right"/>
              <w:rPr>
                <w:rStyle w:val="SubtleEmphasis"/>
                <w:sz w:val="22"/>
              </w:rPr>
            </w:pPr>
            <w:r w:rsidRPr="00980D80">
              <w:rPr>
                <w:rStyle w:val="SubtleEmphasis"/>
                <w:sz w:val="22"/>
              </w:rPr>
              <w:t>£</w:t>
            </w:r>
          </w:p>
        </w:tc>
        <w:tc>
          <w:tcPr>
            <w:tcW w:w="781" w:type="pct"/>
          </w:tcPr>
          <w:p w:rsidR="00B36627" w:rsidRPr="00980D80" w:rsidRDefault="00B36627" w:rsidP="008A4F4A">
            <w:pPr>
              <w:jc w:val="right"/>
              <w:rPr>
                <w:i/>
                <w:sz w:val="22"/>
              </w:rPr>
            </w:pPr>
            <w:r w:rsidRPr="00980D80">
              <w:rPr>
                <w:i/>
                <w:sz w:val="22"/>
              </w:rPr>
              <w:t>£</w:t>
            </w:r>
          </w:p>
        </w:tc>
        <w:tc>
          <w:tcPr>
            <w:tcW w:w="397" w:type="pct"/>
          </w:tcPr>
          <w:p w:rsidR="00B36627" w:rsidRPr="00980D80" w:rsidRDefault="00B36627" w:rsidP="008A4F4A">
            <w:pPr>
              <w:jc w:val="center"/>
              <w:rPr>
                <w:sz w:val="22"/>
              </w:rPr>
            </w:pPr>
          </w:p>
        </w:tc>
      </w:tr>
      <w:tr w:rsidR="00B36627" w:rsidRPr="00980D80" w:rsidTr="008A4F4A">
        <w:tc>
          <w:tcPr>
            <w:tcW w:w="3089" w:type="pct"/>
            <w:noWrap/>
          </w:tcPr>
          <w:p w:rsidR="00B36627" w:rsidRPr="00A71723" w:rsidRDefault="00B36627" w:rsidP="008A4F4A">
            <w:pPr>
              <w:rPr>
                <w:sz w:val="22"/>
              </w:rPr>
            </w:pPr>
            <w:r>
              <w:rPr>
                <w:sz w:val="22"/>
              </w:rPr>
              <w:t>Non-Current Assets</w:t>
            </w:r>
          </w:p>
        </w:tc>
        <w:tc>
          <w:tcPr>
            <w:tcW w:w="733" w:type="pct"/>
          </w:tcPr>
          <w:p w:rsidR="00B36627" w:rsidRPr="00980D80" w:rsidRDefault="00B36627" w:rsidP="008A4F4A">
            <w:pPr>
              <w:pStyle w:val="DecimalAligned"/>
              <w:jc w:val="center"/>
            </w:pPr>
          </w:p>
        </w:tc>
        <w:tc>
          <w:tcPr>
            <w:tcW w:w="781" w:type="pct"/>
          </w:tcPr>
          <w:p w:rsidR="00B36627" w:rsidRPr="00980D80" w:rsidRDefault="00B36627" w:rsidP="008A4F4A">
            <w:pPr>
              <w:pStyle w:val="DecimalAligned"/>
              <w:jc w:val="right"/>
            </w:pPr>
          </w:p>
        </w:tc>
        <w:tc>
          <w:tcPr>
            <w:tcW w:w="397" w:type="pct"/>
          </w:tcPr>
          <w:p w:rsidR="00B36627" w:rsidRPr="00980D80" w:rsidRDefault="00B36627" w:rsidP="008A4F4A">
            <w:pPr>
              <w:pStyle w:val="DecimalAligned"/>
            </w:pPr>
          </w:p>
        </w:tc>
      </w:tr>
      <w:tr w:rsidR="00B36627" w:rsidRPr="00980D80" w:rsidTr="008A4F4A">
        <w:tc>
          <w:tcPr>
            <w:tcW w:w="3089" w:type="pct"/>
            <w:noWrap/>
          </w:tcPr>
          <w:p w:rsidR="00B36627" w:rsidRPr="00980D80" w:rsidRDefault="00F63EC4" w:rsidP="008A4F4A">
            <w:pPr>
              <w:rPr>
                <w:b w:val="0"/>
                <w:sz w:val="22"/>
              </w:rPr>
            </w:pPr>
            <w:r>
              <w:rPr>
                <w:b w:val="0"/>
                <w:sz w:val="22"/>
              </w:rPr>
              <w:t>Operational Property</w:t>
            </w:r>
          </w:p>
        </w:tc>
        <w:tc>
          <w:tcPr>
            <w:tcW w:w="733" w:type="pct"/>
          </w:tcPr>
          <w:p w:rsidR="00B36627" w:rsidRPr="00980D80" w:rsidRDefault="00F63EC4" w:rsidP="008A4F4A">
            <w:pPr>
              <w:pStyle w:val="DecimalAligned"/>
              <w:jc w:val="right"/>
            </w:pPr>
            <w:r>
              <w:t>4,900,355</w:t>
            </w:r>
          </w:p>
        </w:tc>
        <w:tc>
          <w:tcPr>
            <w:tcW w:w="781" w:type="pct"/>
          </w:tcPr>
          <w:p w:rsidR="00B36627" w:rsidRPr="00980D80" w:rsidRDefault="00F63EC4" w:rsidP="008A4F4A">
            <w:pPr>
              <w:pStyle w:val="DecimalAligned"/>
              <w:jc w:val="right"/>
            </w:pPr>
            <w:r>
              <w:t>1,033,00</w:t>
            </w:r>
            <w:r w:rsidR="00B36627">
              <w:t>0</w:t>
            </w:r>
          </w:p>
        </w:tc>
        <w:tc>
          <w:tcPr>
            <w:tcW w:w="397" w:type="pct"/>
          </w:tcPr>
          <w:p w:rsidR="00B36627" w:rsidRPr="00980D80" w:rsidRDefault="00F63EC4" w:rsidP="008A4F4A">
            <w:pPr>
              <w:pStyle w:val="DecimalAligned"/>
              <w:jc w:val="center"/>
            </w:pPr>
            <w:r>
              <w:t>1</w:t>
            </w:r>
          </w:p>
        </w:tc>
      </w:tr>
      <w:tr w:rsidR="00B36627" w:rsidRPr="00980D80" w:rsidTr="008A4F4A">
        <w:tc>
          <w:tcPr>
            <w:tcW w:w="3089" w:type="pct"/>
            <w:noWrap/>
          </w:tcPr>
          <w:p w:rsidR="00B36627" w:rsidRPr="00980D80" w:rsidRDefault="00F63EC4" w:rsidP="008A4F4A">
            <w:pPr>
              <w:rPr>
                <w:b w:val="0"/>
                <w:sz w:val="22"/>
              </w:rPr>
            </w:pPr>
            <w:r>
              <w:rPr>
                <w:b w:val="0"/>
                <w:sz w:val="22"/>
              </w:rPr>
              <w:t>Assets Under Construction</w:t>
            </w:r>
          </w:p>
        </w:tc>
        <w:tc>
          <w:tcPr>
            <w:tcW w:w="733" w:type="pct"/>
          </w:tcPr>
          <w:p w:rsidR="00B36627" w:rsidRPr="00980D80" w:rsidRDefault="00F63EC4" w:rsidP="008A4F4A">
            <w:pPr>
              <w:pStyle w:val="DecimalAligned"/>
              <w:jc w:val="right"/>
            </w:pPr>
            <w:r>
              <w:t>1,395,719</w:t>
            </w:r>
          </w:p>
        </w:tc>
        <w:tc>
          <w:tcPr>
            <w:tcW w:w="781" w:type="pct"/>
          </w:tcPr>
          <w:p w:rsidR="00B36627" w:rsidRPr="00980D80" w:rsidRDefault="00B36627" w:rsidP="008A4F4A">
            <w:pPr>
              <w:pStyle w:val="DecimalAligned"/>
              <w:jc w:val="right"/>
            </w:pPr>
            <w:r>
              <w:t>0</w:t>
            </w:r>
          </w:p>
        </w:tc>
        <w:tc>
          <w:tcPr>
            <w:tcW w:w="397" w:type="pct"/>
          </w:tcPr>
          <w:p w:rsidR="00B36627" w:rsidRPr="00980D80" w:rsidRDefault="00B36627" w:rsidP="008A4F4A">
            <w:pPr>
              <w:pStyle w:val="DecimalAligned"/>
              <w:jc w:val="center"/>
            </w:pPr>
          </w:p>
        </w:tc>
      </w:tr>
      <w:tr w:rsidR="00B36627" w:rsidRPr="00980D80" w:rsidTr="008A4F4A">
        <w:tc>
          <w:tcPr>
            <w:tcW w:w="3089" w:type="pct"/>
            <w:tcBorders>
              <w:top w:val="single" w:sz="12" w:space="0" w:color="auto"/>
              <w:bottom w:val="nil"/>
            </w:tcBorders>
            <w:noWrap/>
          </w:tcPr>
          <w:p w:rsidR="00B36627" w:rsidRPr="00082F80" w:rsidRDefault="00F63EC4" w:rsidP="008A4F4A">
            <w:pPr>
              <w:rPr>
                <w:sz w:val="22"/>
              </w:rPr>
            </w:pPr>
            <w:r>
              <w:rPr>
                <w:sz w:val="22"/>
              </w:rPr>
              <w:t>Total Non-Cur</w:t>
            </w:r>
            <w:r w:rsidR="00911A75">
              <w:rPr>
                <w:sz w:val="22"/>
              </w:rPr>
              <w:t>r</w:t>
            </w:r>
            <w:r>
              <w:rPr>
                <w:sz w:val="22"/>
              </w:rPr>
              <w:t>ent</w:t>
            </w:r>
            <w:r w:rsidR="00B36627" w:rsidRPr="00082F80">
              <w:rPr>
                <w:sz w:val="22"/>
              </w:rPr>
              <w:t xml:space="preserve"> Assets</w:t>
            </w:r>
          </w:p>
        </w:tc>
        <w:tc>
          <w:tcPr>
            <w:tcW w:w="733" w:type="pct"/>
            <w:tcBorders>
              <w:top w:val="single" w:sz="12" w:space="0" w:color="auto"/>
              <w:bottom w:val="nil"/>
            </w:tcBorders>
          </w:tcPr>
          <w:p w:rsidR="00B36627" w:rsidRPr="00980D80" w:rsidRDefault="00F63EC4" w:rsidP="008A4F4A">
            <w:pPr>
              <w:pStyle w:val="DecimalAligned"/>
              <w:jc w:val="right"/>
              <w:rPr>
                <w:b/>
              </w:rPr>
            </w:pPr>
            <w:r>
              <w:rPr>
                <w:b/>
              </w:rPr>
              <w:t>6,296,074</w:t>
            </w:r>
          </w:p>
        </w:tc>
        <w:tc>
          <w:tcPr>
            <w:tcW w:w="781" w:type="pct"/>
            <w:tcBorders>
              <w:top w:val="single" w:sz="12" w:space="0" w:color="auto"/>
              <w:bottom w:val="nil"/>
            </w:tcBorders>
          </w:tcPr>
          <w:p w:rsidR="00B36627" w:rsidRPr="00980D80" w:rsidRDefault="00F63EC4" w:rsidP="008A4F4A">
            <w:pPr>
              <w:pStyle w:val="DecimalAligned"/>
              <w:jc w:val="right"/>
              <w:rPr>
                <w:b/>
              </w:rPr>
            </w:pPr>
            <w:r>
              <w:rPr>
                <w:b/>
              </w:rPr>
              <w:t>1,033,000</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980D80" w:rsidTr="008A4F4A">
        <w:tc>
          <w:tcPr>
            <w:tcW w:w="3089" w:type="pct"/>
            <w:noWrap/>
          </w:tcPr>
          <w:p w:rsidR="00B36627" w:rsidRPr="00A71723" w:rsidRDefault="00B36627" w:rsidP="008A4F4A">
            <w:pPr>
              <w:rPr>
                <w:sz w:val="22"/>
              </w:rPr>
            </w:pPr>
            <w:r>
              <w:rPr>
                <w:sz w:val="22"/>
              </w:rPr>
              <w:t>Current Assets</w:t>
            </w:r>
          </w:p>
        </w:tc>
        <w:tc>
          <w:tcPr>
            <w:tcW w:w="733" w:type="pct"/>
          </w:tcPr>
          <w:p w:rsidR="00B36627" w:rsidRPr="00980D80" w:rsidRDefault="00B36627" w:rsidP="008A4F4A">
            <w:pPr>
              <w:pStyle w:val="DecimalAligned"/>
              <w:jc w:val="center"/>
            </w:pPr>
          </w:p>
        </w:tc>
        <w:tc>
          <w:tcPr>
            <w:tcW w:w="781" w:type="pct"/>
          </w:tcPr>
          <w:p w:rsidR="00B36627" w:rsidRPr="00980D80" w:rsidRDefault="00B36627" w:rsidP="008A4F4A">
            <w:pPr>
              <w:pStyle w:val="DecimalAligned"/>
              <w:jc w:val="right"/>
            </w:pPr>
          </w:p>
        </w:tc>
        <w:tc>
          <w:tcPr>
            <w:tcW w:w="397" w:type="pct"/>
          </w:tcPr>
          <w:p w:rsidR="00B36627" w:rsidRPr="00980D80" w:rsidRDefault="00B36627" w:rsidP="008A4F4A">
            <w:pPr>
              <w:pStyle w:val="DecimalAligned"/>
            </w:pPr>
          </w:p>
        </w:tc>
      </w:tr>
      <w:tr w:rsidR="00B36627" w:rsidRPr="00980D80" w:rsidTr="008A4F4A">
        <w:tc>
          <w:tcPr>
            <w:tcW w:w="3089" w:type="pct"/>
            <w:noWrap/>
          </w:tcPr>
          <w:p w:rsidR="00B36627" w:rsidRPr="00980D80" w:rsidRDefault="00F63EC4" w:rsidP="008A4F4A">
            <w:pPr>
              <w:rPr>
                <w:b w:val="0"/>
                <w:sz w:val="22"/>
              </w:rPr>
            </w:pPr>
            <w:r>
              <w:rPr>
                <w:b w:val="0"/>
                <w:sz w:val="22"/>
              </w:rPr>
              <w:t>Trade and Other Receivables</w:t>
            </w:r>
          </w:p>
        </w:tc>
        <w:tc>
          <w:tcPr>
            <w:tcW w:w="733" w:type="pct"/>
          </w:tcPr>
          <w:p w:rsidR="00B36627" w:rsidRPr="00980D80" w:rsidRDefault="00F63EC4" w:rsidP="008A4F4A">
            <w:pPr>
              <w:pStyle w:val="DecimalAligned"/>
              <w:jc w:val="right"/>
            </w:pPr>
            <w:r>
              <w:t>295,135</w:t>
            </w:r>
          </w:p>
        </w:tc>
        <w:tc>
          <w:tcPr>
            <w:tcW w:w="781" w:type="pct"/>
          </w:tcPr>
          <w:p w:rsidR="00B36627" w:rsidRPr="00980D80" w:rsidRDefault="00F63EC4" w:rsidP="008A4F4A">
            <w:pPr>
              <w:pStyle w:val="DecimalAligned"/>
              <w:jc w:val="right"/>
            </w:pPr>
            <w:r>
              <w:t>119,020</w:t>
            </w:r>
          </w:p>
        </w:tc>
        <w:tc>
          <w:tcPr>
            <w:tcW w:w="397" w:type="pct"/>
          </w:tcPr>
          <w:p w:rsidR="00B36627" w:rsidRPr="00980D80" w:rsidRDefault="00F63EC4" w:rsidP="008A4F4A">
            <w:pPr>
              <w:pStyle w:val="DecimalAligned"/>
              <w:jc w:val="center"/>
            </w:pPr>
            <w:r>
              <w:t>2</w:t>
            </w:r>
          </w:p>
        </w:tc>
      </w:tr>
      <w:tr w:rsidR="00B36627" w:rsidRPr="00980D80" w:rsidTr="008A4F4A">
        <w:tc>
          <w:tcPr>
            <w:tcW w:w="3089" w:type="pct"/>
            <w:noWrap/>
          </w:tcPr>
          <w:p w:rsidR="00B36627" w:rsidRPr="00980D80" w:rsidRDefault="00F63EC4" w:rsidP="008A4F4A">
            <w:pPr>
              <w:rPr>
                <w:b w:val="0"/>
                <w:sz w:val="22"/>
              </w:rPr>
            </w:pPr>
            <w:r>
              <w:rPr>
                <w:b w:val="0"/>
                <w:sz w:val="22"/>
              </w:rPr>
              <w:t>Cash and Cash Equivalents</w:t>
            </w:r>
          </w:p>
        </w:tc>
        <w:tc>
          <w:tcPr>
            <w:tcW w:w="733" w:type="pct"/>
          </w:tcPr>
          <w:p w:rsidR="00B36627" w:rsidRPr="00980D80" w:rsidRDefault="00F63EC4" w:rsidP="008A4F4A">
            <w:pPr>
              <w:pStyle w:val="DecimalAligned"/>
              <w:jc w:val="right"/>
            </w:pPr>
            <w:r>
              <w:t>379,270</w:t>
            </w:r>
          </w:p>
        </w:tc>
        <w:tc>
          <w:tcPr>
            <w:tcW w:w="781" w:type="pct"/>
          </w:tcPr>
          <w:p w:rsidR="00B36627" w:rsidRPr="00980D80" w:rsidRDefault="00F63EC4" w:rsidP="008A4F4A">
            <w:pPr>
              <w:pStyle w:val="DecimalAligned"/>
              <w:jc w:val="right"/>
            </w:pPr>
            <w:r>
              <w:t>11</w:t>
            </w:r>
          </w:p>
        </w:tc>
        <w:tc>
          <w:tcPr>
            <w:tcW w:w="397" w:type="pct"/>
          </w:tcPr>
          <w:p w:rsidR="00B36627" w:rsidRPr="00980D80" w:rsidRDefault="00B36627" w:rsidP="008A4F4A">
            <w:pPr>
              <w:pStyle w:val="DecimalAligned"/>
              <w:jc w:val="center"/>
            </w:pPr>
          </w:p>
        </w:tc>
      </w:tr>
      <w:tr w:rsidR="00B36627" w:rsidRPr="00980D80" w:rsidTr="008A4F4A">
        <w:tc>
          <w:tcPr>
            <w:tcW w:w="3089" w:type="pct"/>
            <w:tcBorders>
              <w:top w:val="single" w:sz="12" w:space="0" w:color="auto"/>
              <w:bottom w:val="nil"/>
            </w:tcBorders>
            <w:noWrap/>
          </w:tcPr>
          <w:p w:rsidR="00911A75" w:rsidRPr="00082F80" w:rsidRDefault="00B36627" w:rsidP="008A4F4A">
            <w:pPr>
              <w:rPr>
                <w:sz w:val="22"/>
              </w:rPr>
            </w:pPr>
            <w:r w:rsidRPr="00082F80">
              <w:rPr>
                <w:sz w:val="22"/>
              </w:rPr>
              <w:t>T</w:t>
            </w:r>
            <w:r>
              <w:rPr>
                <w:sz w:val="22"/>
              </w:rPr>
              <w:t>otal Current</w:t>
            </w:r>
            <w:r w:rsidRPr="00082F80">
              <w:rPr>
                <w:sz w:val="22"/>
              </w:rPr>
              <w:t xml:space="preserve"> Assets</w:t>
            </w:r>
          </w:p>
        </w:tc>
        <w:tc>
          <w:tcPr>
            <w:tcW w:w="733" w:type="pct"/>
            <w:tcBorders>
              <w:top w:val="single" w:sz="12" w:space="0" w:color="auto"/>
              <w:bottom w:val="nil"/>
            </w:tcBorders>
          </w:tcPr>
          <w:p w:rsidR="00B36627" w:rsidRPr="00980D80" w:rsidRDefault="00F63EC4" w:rsidP="008A4F4A">
            <w:pPr>
              <w:pStyle w:val="DecimalAligned"/>
              <w:jc w:val="right"/>
              <w:rPr>
                <w:b/>
              </w:rPr>
            </w:pPr>
            <w:r>
              <w:rPr>
                <w:b/>
              </w:rPr>
              <w:t>674,405</w:t>
            </w:r>
          </w:p>
        </w:tc>
        <w:tc>
          <w:tcPr>
            <w:tcW w:w="781" w:type="pct"/>
            <w:tcBorders>
              <w:top w:val="single" w:sz="12" w:space="0" w:color="auto"/>
              <w:bottom w:val="nil"/>
            </w:tcBorders>
          </w:tcPr>
          <w:p w:rsidR="00B36627" w:rsidRPr="00980D80" w:rsidRDefault="00F63EC4" w:rsidP="008A4F4A">
            <w:pPr>
              <w:pStyle w:val="DecimalAligned"/>
              <w:jc w:val="right"/>
              <w:rPr>
                <w:b/>
              </w:rPr>
            </w:pPr>
            <w:r>
              <w:rPr>
                <w:b/>
              </w:rPr>
              <w:t>119,031</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980D80" w:rsidTr="008A4F4A">
        <w:tc>
          <w:tcPr>
            <w:tcW w:w="3089" w:type="pct"/>
            <w:noWrap/>
          </w:tcPr>
          <w:p w:rsidR="00B36627" w:rsidRPr="00A71723" w:rsidRDefault="00B36627" w:rsidP="008A4F4A">
            <w:pPr>
              <w:rPr>
                <w:sz w:val="22"/>
              </w:rPr>
            </w:pPr>
            <w:r>
              <w:rPr>
                <w:sz w:val="22"/>
              </w:rPr>
              <w:t>Current Liabilities</w:t>
            </w:r>
          </w:p>
        </w:tc>
        <w:tc>
          <w:tcPr>
            <w:tcW w:w="733" w:type="pct"/>
          </w:tcPr>
          <w:p w:rsidR="00B36627" w:rsidRPr="00980D80" w:rsidRDefault="00B36627" w:rsidP="008A4F4A">
            <w:pPr>
              <w:pStyle w:val="DecimalAligned"/>
              <w:jc w:val="center"/>
            </w:pPr>
          </w:p>
        </w:tc>
        <w:tc>
          <w:tcPr>
            <w:tcW w:w="781" w:type="pct"/>
          </w:tcPr>
          <w:p w:rsidR="00B36627" w:rsidRPr="00980D80" w:rsidRDefault="00B36627" w:rsidP="008A4F4A">
            <w:pPr>
              <w:pStyle w:val="DecimalAligned"/>
              <w:jc w:val="right"/>
            </w:pPr>
          </w:p>
        </w:tc>
        <w:tc>
          <w:tcPr>
            <w:tcW w:w="397" w:type="pct"/>
          </w:tcPr>
          <w:p w:rsidR="00B36627" w:rsidRPr="00980D80" w:rsidRDefault="00B36627" w:rsidP="008A4F4A">
            <w:pPr>
              <w:pStyle w:val="DecimalAligned"/>
            </w:pPr>
          </w:p>
        </w:tc>
      </w:tr>
      <w:tr w:rsidR="00B36627" w:rsidRPr="00980D80" w:rsidTr="008A4F4A">
        <w:tc>
          <w:tcPr>
            <w:tcW w:w="3089" w:type="pct"/>
            <w:noWrap/>
          </w:tcPr>
          <w:p w:rsidR="00B36627" w:rsidRPr="00980D80" w:rsidRDefault="00F63EC4" w:rsidP="008A4F4A">
            <w:pPr>
              <w:rPr>
                <w:b w:val="0"/>
                <w:sz w:val="22"/>
              </w:rPr>
            </w:pPr>
            <w:r>
              <w:rPr>
                <w:b w:val="0"/>
                <w:sz w:val="22"/>
              </w:rPr>
              <w:t>Trade and Other Payables</w:t>
            </w:r>
          </w:p>
        </w:tc>
        <w:tc>
          <w:tcPr>
            <w:tcW w:w="733" w:type="pct"/>
          </w:tcPr>
          <w:p w:rsidR="00B36627" w:rsidRPr="00980D80" w:rsidRDefault="00F63EC4" w:rsidP="008A4F4A">
            <w:pPr>
              <w:pStyle w:val="DecimalAligned"/>
              <w:jc w:val="right"/>
            </w:pPr>
            <w:r>
              <w:t>(2,589,481)</w:t>
            </w:r>
          </w:p>
        </w:tc>
        <w:tc>
          <w:tcPr>
            <w:tcW w:w="781" w:type="pct"/>
          </w:tcPr>
          <w:p w:rsidR="00B36627" w:rsidRPr="00980D80" w:rsidRDefault="00F63EC4" w:rsidP="008A4F4A">
            <w:pPr>
              <w:pStyle w:val="DecimalAligned"/>
              <w:jc w:val="right"/>
            </w:pPr>
            <w:r>
              <w:t>(702,166)</w:t>
            </w:r>
          </w:p>
        </w:tc>
        <w:tc>
          <w:tcPr>
            <w:tcW w:w="397" w:type="pct"/>
          </w:tcPr>
          <w:p w:rsidR="00B36627" w:rsidRPr="00980D80" w:rsidRDefault="00CC4C39" w:rsidP="008A4F4A">
            <w:pPr>
              <w:pStyle w:val="DecimalAligned"/>
              <w:jc w:val="center"/>
            </w:pPr>
            <w:r>
              <w:t>3</w:t>
            </w:r>
          </w:p>
        </w:tc>
      </w:tr>
      <w:tr w:rsidR="00B36627" w:rsidRPr="00980D80" w:rsidTr="008A4F4A">
        <w:tc>
          <w:tcPr>
            <w:tcW w:w="3089" w:type="pct"/>
            <w:tcBorders>
              <w:top w:val="single" w:sz="12" w:space="0" w:color="auto"/>
              <w:bottom w:val="nil"/>
            </w:tcBorders>
            <w:noWrap/>
          </w:tcPr>
          <w:p w:rsidR="00B36627" w:rsidRPr="00082F80" w:rsidRDefault="00B36627" w:rsidP="008A4F4A">
            <w:pPr>
              <w:rPr>
                <w:sz w:val="22"/>
              </w:rPr>
            </w:pPr>
            <w:r w:rsidRPr="00082F80">
              <w:rPr>
                <w:sz w:val="22"/>
              </w:rPr>
              <w:t>T</w:t>
            </w:r>
            <w:r>
              <w:rPr>
                <w:sz w:val="22"/>
              </w:rPr>
              <w:t>otal Current Liabilities</w:t>
            </w:r>
          </w:p>
        </w:tc>
        <w:tc>
          <w:tcPr>
            <w:tcW w:w="733" w:type="pct"/>
            <w:tcBorders>
              <w:top w:val="single" w:sz="12" w:space="0" w:color="auto"/>
              <w:bottom w:val="nil"/>
            </w:tcBorders>
          </w:tcPr>
          <w:p w:rsidR="00B36627" w:rsidRPr="00980D80" w:rsidRDefault="00F63EC4" w:rsidP="008A4F4A">
            <w:pPr>
              <w:pStyle w:val="DecimalAligned"/>
              <w:jc w:val="right"/>
              <w:rPr>
                <w:b/>
              </w:rPr>
            </w:pPr>
            <w:r>
              <w:rPr>
                <w:b/>
              </w:rPr>
              <w:t>(2,589,481)</w:t>
            </w:r>
          </w:p>
        </w:tc>
        <w:tc>
          <w:tcPr>
            <w:tcW w:w="781" w:type="pct"/>
            <w:tcBorders>
              <w:top w:val="single" w:sz="12" w:space="0" w:color="auto"/>
              <w:bottom w:val="nil"/>
            </w:tcBorders>
          </w:tcPr>
          <w:p w:rsidR="00B36627" w:rsidRPr="00980D80" w:rsidRDefault="00F63EC4" w:rsidP="008A4F4A">
            <w:pPr>
              <w:pStyle w:val="DecimalAligned"/>
              <w:jc w:val="right"/>
              <w:rPr>
                <w:b/>
              </w:rPr>
            </w:pPr>
            <w:r>
              <w:rPr>
                <w:b/>
              </w:rPr>
              <w:t>(702,166)</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980D80" w:rsidTr="008A4F4A">
        <w:tc>
          <w:tcPr>
            <w:tcW w:w="3089" w:type="pct"/>
            <w:tcBorders>
              <w:top w:val="single" w:sz="12" w:space="0" w:color="auto"/>
              <w:bottom w:val="nil"/>
            </w:tcBorders>
            <w:noWrap/>
          </w:tcPr>
          <w:p w:rsidR="00B36627" w:rsidRPr="00082F80" w:rsidRDefault="00B36627" w:rsidP="008A4F4A">
            <w:pPr>
              <w:rPr>
                <w:sz w:val="22"/>
              </w:rPr>
            </w:pPr>
            <w:r>
              <w:rPr>
                <w:sz w:val="22"/>
              </w:rPr>
              <w:t>Net Current Assets</w:t>
            </w:r>
          </w:p>
        </w:tc>
        <w:tc>
          <w:tcPr>
            <w:tcW w:w="733" w:type="pct"/>
            <w:tcBorders>
              <w:top w:val="single" w:sz="12" w:space="0" w:color="auto"/>
              <w:bottom w:val="nil"/>
            </w:tcBorders>
          </w:tcPr>
          <w:p w:rsidR="00B36627" w:rsidRPr="00980D80" w:rsidRDefault="00F63EC4" w:rsidP="008A4F4A">
            <w:pPr>
              <w:pStyle w:val="DecimalAligned"/>
              <w:jc w:val="right"/>
              <w:rPr>
                <w:b/>
              </w:rPr>
            </w:pPr>
            <w:r>
              <w:rPr>
                <w:b/>
              </w:rPr>
              <w:t>(1,915,076)</w:t>
            </w:r>
          </w:p>
        </w:tc>
        <w:tc>
          <w:tcPr>
            <w:tcW w:w="781" w:type="pct"/>
            <w:tcBorders>
              <w:top w:val="single" w:sz="12" w:space="0" w:color="auto"/>
              <w:bottom w:val="nil"/>
            </w:tcBorders>
          </w:tcPr>
          <w:p w:rsidR="00B36627" w:rsidRPr="00980D80" w:rsidRDefault="00F63EC4" w:rsidP="008A4F4A">
            <w:pPr>
              <w:pStyle w:val="DecimalAligned"/>
              <w:jc w:val="right"/>
              <w:rPr>
                <w:b/>
              </w:rPr>
            </w:pPr>
            <w:r>
              <w:rPr>
                <w:b/>
              </w:rPr>
              <w:t>(583,135)</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980D80" w:rsidTr="008A4F4A">
        <w:tc>
          <w:tcPr>
            <w:tcW w:w="3089" w:type="pct"/>
            <w:tcBorders>
              <w:top w:val="single" w:sz="12" w:space="0" w:color="auto"/>
              <w:bottom w:val="nil"/>
            </w:tcBorders>
            <w:noWrap/>
          </w:tcPr>
          <w:p w:rsidR="00B36627" w:rsidRPr="00082F80" w:rsidRDefault="00B36627" w:rsidP="008A4F4A">
            <w:pPr>
              <w:rPr>
                <w:sz w:val="22"/>
              </w:rPr>
            </w:pPr>
            <w:r>
              <w:rPr>
                <w:sz w:val="22"/>
              </w:rPr>
              <w:t>Net Assets Less Current Liabilities</w:t>
            </w:r>
          </w:p>
        </w:tc>
        <w:tc>
          <w:tcPr>
            <w:tcW w:w="733" w:type="pct"/>
            <w:tcBorders>
              <w:top w:val="single" w:sz="12" w:space="0" w:color="auto"/>
              <w:bottom w:val="nil"/>
            </w:tcBorders>
          </w:tcPr>
          <w:p w:rsidR="00B36627" w:rsidRPr="00980D80" w:rsidRDefault="00B92BB1" w:rsidP="008A4F4A">
            <w:pPr>
              <w:pStyle w:val="DecimalAligned"/>
              <w:jc w:val="right"/>
              <w:rPr>
                <w:b/>
              </w:rPr>
            </w:pPr>
            <w:r>
              <w:rPr>
                <w:b/>
              </w:rPr>
              <w:t>4,380,998</w:t>
            </w:r>
          </w:p>
        </w:tc>
        <w:tc>
          <w:tcPr>
            <w:tcW w:w="781" w:type="pct"/>
            <w:tcBorders>
              <w:top w:val="single" w:sz="12" w:space="0" w:color="auto"/>
              <w:bottom w:val="nil"/>
            </w:tcBorders>
          </w:tcPr>
          <w:p w:rsidR="00B36627" w:rsidRPr="00980D80" w:rsidRDefault="00B92BB1" w:rsidP="008A4F4A">
            <w:pPr>
              <w:pStyle w:val="DecimalAligned"/>
              <w:jc w:val="right"/>
              <w:rPr>
                <w:b/>
              </w:rPr>
            </w:pPr>
            <w:r>
              <w:rPr>
                <w:b/>
              </w:rPr>
              <w:t>449,865</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D80DB6" w:rsidTr="008A4F4A">
        <w:tc>
          <w:tcPr>
            <w:tcW w:w="3089" w:type="pct"/>
            <w:tcBorders>
              <w:top w:val="single" w:sz="12" w:space="0" w:color="auto"/>
              <w:bottom w:val="nil"/>
            </w:tcBorders>
            <w:noWrap/>
          </w:tcPr>
          <w:p w:rsidR="00B36627" w:rsidRPr="00D80DB6" w:rsidRDefault="00B36627" w:rsidP="008A4F4A">
            <w:pPr>
              <w:rPr>
                <w:sz w:val="22"/>
              </w:rPr>
            </w:pPr>
          </w:p>
        </w:tc>
        <w:tc>
          <w:tcPr>
            <w:tcW w:w="733" w:type="pct"/>
            <w:tcBorders>
              <w:top w:val="single" w:sz="12" w:space="0" w:color="auto"/>
              <w:bottom w:val="nil"/>
            </w:tcBorders>
          </w:tcPr>
          <w:p w:rsidR="00B36627" w:rsidRPr="00D80DB6" w:rsidRDefault="00B36627" w:rsidP="008A4F4A">
            <w:pPr>
              <w:rPr>
                <w:sz w:val="22"/>
              </w:rPr>
            </w:pPr>
          </w:p>
        </w:tc>
        <w:tc>
          <w:tcPr>
            <w:tcW w:w="781" w:type="pct"/>
            <w:tcBorders>
              <w:top w:val="single" w:sz="12" w:space="0" w:color="auto"/>
              <w:bottom w:val="nil"/>
            </w:tcBorders>
          </w:tcPr>
          <w:p w:rsidR="00B36627" w:rsidRPr="00D80DB6" w:rsidRDefault="00B36627" w:rsidP="008A4F4A">
            <w:pPr>
              <w:rPr>
                <w:sz w:val="22"/>
              </w:rPr>
            </w:pPr>
          </w:p>
        </w:tc>
        <w:tc>
          <w:tcPr>
            <w:tcW w:w="397" w:type="pct"/>
            <w:tcBorders>
              <w:top w:val="single" w:sz="12" w:space="0" w:color="auto"/>
              <w:bottom w:val="nil"/>
            </w:tcBorders>
          </w:tcPr>
          <w:p w:rsidR="00B36627" w:rsidRPr="00D80DB6" w:rsidRDefault="00B36627" w:rsidP="008A4F4A">
            <w:pPr>
              <w:rPr>
                <w:sz w:val="22"/>
              </w:rPr>
            </w:pPr>
          </w:p>
        </w:tc>
      </w:tr>
      <w:tr w:rsidR="00B36627" w:rsidRPr="00980D80" w:rsidTr="008A4F4A">
        <w:tc>
          <w:tcPr>
            <w:tcW w:w="3089" w:type="pct"/>
            <w:noWrap/>
          </w:tcPr>
          <w:p w:rsidR="00B36627" w:rsidRPr="00A71723" w:rsidRDefault="00F63EC4" w:rsidP="00F63EC4">
            <w:pPr>
              <w:rPr>
                <w:sz w:val="22"/>
              </w:rPr>
            </w:pPr>
            <w:r>
              <w:rPr>
                <w:sz w:val="22"/>
              </w:rPr>
              <w:t>Non-Current Liabilities</w:t>
            </w:r>
          </w:p>
        </w:tc>
        <w:tc>
          <w:tcPr>
            <w:tcW w:w="733" w:type="pct"/>
          </w:tcPr>
          <w:p w:rsidR="00B36627" w:rsidRPr="00980D80" w:rsidRDefault="00B36627" w:rsidP="008A4F4A">
            <w:pPr>
              <w:pStyle w:val="DecimalAligned"/>
              <w:jc w:val="center"/>
            </w:pPr>
          </w:p>
        </w:tc>
        <w:tc>
          <w:tcPr>
            <w:tcW w:w="781" w:type="pct"/>
          </w:tcPr>
          <w:p w:rsidR="00B36627" w:rsidRPr="00980D80" w:rsidRDefault="00B36627" w:rsidP="008A4F4A">
            <w:pPr>
              <w:pStyle w:val="DecimalAligned"/>
              <w:jc w:val="right"/>
            </w:pPr>
          </w:p>
        </w:tc>
        <w:tc>
          <w:tcPr>
            <w:tcW w:w="397" w:type="pct"/>
          </w:tcPr>
          <w:p w:rsidR="00B36627" w:rsidRPr="00980D80" w:rsidRDefault="00B36627" w:rsidP="008A4F4A">
            <w:pPr>
              <w:pStyle w:val="DecimalAligned"/>
            </w:pPr>
          </w:p>
        </w:tc>
      </w:tr>
      <w:tr w:rsidR="00B36627" w:rsidRPr="00980D80" w:rsidTr="008A4F4A">
        <w:tc>
          <w:tcPr>
            <w:tcW w:w="3089" w:type="pct"/>
            <w:noWrap/>
          </w:tcPr>
          <w:p w:rsidR="00B36627" w:rsidRPr="00980D80" w:rsidRDefault="00B36627" w:rsidP="008A4F4A">
            <w:pPr>
              <w:rPr>
                <w:b w:val="0"/>
                <w:sz w:val="22"/>
              </w:rPr>
            </w:pPr>
            <w:r>
              <w:rPr>
                <w:b w:val="0"/>
                <w:sz w:val="22"/>
              </w:rPr>
              <w:t>Long Term Loans : Amounts Falling Due After More Than One Year</w:t>
            </w:r>
          </w:p>
        </w:tc>
        <w:tc>
          <w:tcPr>
            <w:tcW w:w="733" w:type="pct"/>
          </w:tcPr>
          <w:p w:rsidR="00B36627" w:rsidRPr="00980D80" w:rsidRDefault="00B92BB1" w:rsidP="008A4F4A">
            <w:pPr>
              <w:pStyle w:val="DecimalAligned"/>
              <w:jc w:val="right"/>
            </w:pPr>
            <w:r>
              <w:t>(</w:t>
            </w:r>
            <w:r w:rsidR="00F63EC4">
              <w:t>4,326,670</w:t>
            </w:r>
            <w:r>
              <w:t>)</w:t>
            </w:r>
          </w:p>
        </w:tc>
        <w:tc>
          <w:tcPr>
            <w:tcW w:w="781" w:type="pct"/>
          </w:tcPr>
          <w:p w:rsidR="00B36627" w:rsidRPr="00980D80" w:rsidRDefault="00B92BB1" w:rsidP="008A4F4A">
            <w:pPr>
              <w:pStyle w:val="DecimalAligned"/>
              <w:jc w:val="right"/>
            </w:pPr>
            <w:r>
              <w:t>(</w:t>
            </w:r>
            <w:r w:rsidR="00F63EC4">
              <w:t>1,053,606</w:t>
            </w:r>
            <w:r>
              <w:t>)</w:t>
            </w:r>
          </w:p>
        </w:tc>
        <w:tc>
          <w:tcPr>
            <w:tcW w:w="397" w:type="pct"/>
          </w:tcPr>
          <w:p w:rsidR="00B36627" w:rsidRPr="00980D80" w:rsidRDefault="00F63EC4" w:rsidP="008A4F4A">
            <w:pPr>
              <w:pStyle w:val="DecimalAligned"/>
              <w:jc w:val="center"/>
            </w:pPr>
            <w:r>
              <w:t>4</w:t>
            </w:r>
          </w:p>
        </w:tc>
      </w:tr>
      <w:tr w:rsidR="00B36627" w:rsidRPr="00980D80" w:rsidTr="008A4F4A">
        <w:tc>
          <w:tcPr>
            <w:tcW w:w="3089" w:type="pct"/>
            <w:tcBorders>
              <w:top w:val="single" w:sz="12" w:space="0" w:color="auto"/>
              <w:bottom w:val="nil"/>
            </w:tcBorders>
            <w:noWrap/>
          </w:tcPr>
          <w:p w:rsidR="00B36627" w:rsidRPr="00082F80" w:rsidRDefault="00B36627" w:rsidP="00B92BB1">
            <w:pPr>
              <w:rPr>
                <w:sz w:val="22"/>
              </w:rPr>
            </w:pPr>
            <w:r w:rsidRPr="00082F80">
              <w:rPr>
                <w:sz w:val="22"/>
              </w:rPr>
              <w:t>T</w:t>
            </w:r>
            <w:r>
              <w:rPr>
                <w:sz w:val="22"/>
              </w:rPr>
              <w:t xml:space="preserve">otal </w:t>
            </w:r>
            <w:r w:rsidR="00B92BB1">
              <w:rPr>
                <w:sz w:val="22"/>
              </w:rPr>
              <w:t>Non-Current Liabilities</w:t>
            </w:r>
          </w:p>
        </w:tc>
        <w:tc>
          <w:tcPr>
            <w:tcW w:w="733" w:type="pct"/>
            <w:tcBorders>
              <w:top w:val="single" w:sz="12" w:space="0" w:color="auto"/>
              <w:bottom w:val="nil"/>
            </w:tcBorders>
          </w:tcPr>
          <w:p w:rsidR="00B36627" w:rsidRPr="00980D80" w:rsidRDefault="003C5BD3" w:rsidP="008A4F4A">
            <w:pPr>
              <w:pStyle w:val="DecimalAligned"/>
              <w:jc w:val="right"/>
              <w:rPr>
                <w:b/>
              </w:rPr>
            </w:pPr>
            <w:r>
              <w:rPr>
                <w:b/>
              </w:rPr>
              <w:t>(4,326,670)</w:t>
            </w:r>
          </w:p>
        </w:tc>
        <w:tc>
          <w:tcPr>
            <w:tcW w:w="781" w:type="pct"/>
            <w:tcBorders>
              <w:top w:val="single" w:sz="12" w:space="0" w:color="auto"/>
              <w:bottom w:val="nil"/>
            </w:tcBorders>
          </w:tcPr>
          <w:p w:rsidR="00B36627" w:rsidRPr="00980D80" w:rsidRDefault="003C5BD3" w:rsidP="008A4F4A">
            <w:pPr>
              <w:pStyle w:val="DecimalAligned"/>
              <w:jc w:val="right"/>
              <w:rPr>
                <w:b/>
              </w:rPr>
            </w:pPr>
            <w:r>
              <w:rPr>
                <w:b/>
              </w:rPr>
              <w:t>(1,053,606)</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980D80" w:rsidTr="008A4F4A">
        <w:tc>
          <w:tcPr>
            <w:tcW w:w="3089" w:type="pct"/>
            <w:noWrap/>
          </w:tcPr>
          <w:p w:rsidR="00B36627" w:rsidRPr="00A71723" w:rsidRDefault="00B36627" w:rsidP="008A4F4A">
            <w:pPr>
              <w:rPr>
                <w:sz w:val="22"/>
              </w:rPr>
            </w:pPr>
            <w:r>
              <w:rPr>
                <w:sz w:val="22"/>
              </w:rPr>
              <w:t>Provisions and Reserves</w:t>
            </w:r>
          </w:p>
        </w:tc>
        <w:tc>
          <w:tcPr>
            <w:tcW w:w="733" w:type="pct"/>
          </w:tcPr>
          <w:p w:rsidR="00B36627" w:rsidRPr="00980D80" w:rsidRDefault="00B36627" w:rsidP="008A4F4A">
            <w:pPr>
              <w:pStyle w:val="DecimalAligned"/>
              <w:jc w:val="center"/>
            </w:pPr>
          </w:p>
        </w:tc>
        <w:tc>
          <w:tcPr>
            <w:tcW w:w="781" w:type="pct"/>
          </w:tcPr>
          <w:p w:rsidR="00B36627" w:rsidRPr="00980D80" w:rsidRDefault="00B36627" w:rsidP="008A4F4A">
            <w:pPr>
              <w:pStyle w:val="DecimalAligned"/>
              <w:jc w:val="right"/>
            </w:pPr>
          </w:p>
        </w:tc>
        <w:tc>
          <w:tcPr>
            <w:tcW w:w="397" w:type="pct"/>
          </w:tcPr>
          <w:p w:rsidR="00B36627" w:rsidRPr="00980D80" w:rsidRDefault="00B36627" w:rsidP="008A4F4A">
            <w:pPr>
              <w:pStyle w:val="DecimalAligned"/>
            </w:pPr>
          </w:p>
        </w:tc>
      </w:tr>
      <w:tr w:rsidR="00B36627" w:rsidRPr="00980D80" w:rsidTr="008A4F4A">
        <w:tc>
          <w:tcPr>
            <w:tcW w:w="3089" w:type="pct"/>
            <w:noWrap/>
          </w:tcPr>
          <w:p w:rsidR="003C5BD3" w:rsidRPr="00980D80" w:rsidRDefault="003C5BD3" w:rsidP="008A4F4A">
            <w:pPr>
              <w:rPr>
                <w:b w:val="0"/>
                <w:sz w:val="22"/>
              </w:rPr>
            </w:pPr>
            <w:r>
              <w:rPr>
                <w:b w:val="0"/>
                <w:sz w:val="22"/>
              </w:rPr>
              <w:t>Share Capital</w:t>
            </w:r>
          </w:p>
        </w:tc>
        <w:tc>
          <w:tcPr>
            <w:tcW w:w="733" w:type="pct"/>
          </w:tcPr>
          <w:p w:rsidR="00B36627" w:rsidRPr="00980D80" w:rsidRDefault="003C5BD3" w:rsidP="008A4F4A">
            <w:pPr>
              <w:pStyle w:val="DecimalAligned"/>
              <w:jc w:val="right"/>
            </w:pPr>
            <w:r>
              <w:t>(100)</w:t>
            </w:r>
          </w:p>
        </w:tc>
        <w:tc>
          <w:tcPr>
            <w:tcW w:w="781" w:type="pct"/>
          </w:tcPr>
          <w:p w:rsidR="00B36627" w:rsidRPr="00980D80" w:rsidRDefault="003C5BD3" w:rsidP="008A4F4A">
            <w:pPr>
              <w:pStyle w:val="DecimalAligned"/>
              <w:jc w:val="right"/>
            </w:pPr>
            <w:r>
              <w:t>(100)</w:t>
            </w:r>
          </w:p>
        </w:tc>
        <w:tc>
          <w:tcPr>
            <w:tcW w:w="397" w:type="pct"/>
          </w:tcPr>
          <w:p w:rsidR="00B36627" w:rsidRPr="00980D80" w:rsidRDefault="00EE6156" w:rsidP="008A4F4A">
            <w:pPr>
              <w:pStyle w:val="DecimalAligned"/>
              <w:jc w:val="center"/>
            </w:pPr>
            <w:r>
              <w:t>9</w:t>
            </w:r>
          </w:p>
        </w:tc>
      </w:tr>
      <w:tr w:rsidR="003C5BD3" w:rsidRPr="00980D80" w:rsidTr="008A4F4A">
        <w:tc>
          <w:tcPr>
            <w:tcW w:w="3089" w:type="pct"/>
            <w:noWrap/>
          </w:tcPr>
          <w:p w:rsidR="003C5BD3" w:rsidRDefault="003C5BD3" w:rsidP="008A4F4A">
            <w:pPr>
              <w:rPr>
                <w:b w:val="0"/>
                <w:sz w:val="22"/>
              </w:rPr>
            </w:pPr>
            <w:r>
              <w:rPr>
                <w:b w:val="0"/>
                <w:sz w:val="22"/>
              </w:rPr>
              <w:t xml:space="preserve">Retained </w:t>
            </w:r>
            <w:r w:rsidR="0054462A">
              <w:rPr>
                <w:b w:val="0"/>
                <w:sz w:val="22"/>
              </w:rPr>
              <w:t>(</w:t>
            </w:r>
            <w:r>
              <w:rPr>
                <w:b w:val="0"/>
                <w:sz w:val="22"/>
              </w:rPr>
              <w:t>Earnings</w:t>
            </w:r>
            <w:r w:rsidR="0054462A">
              <w:rPr>
                <w:b w:val="0"/>
                <w:sz w:val="22"/>
              </w:rPr>
              <w:t>)/Losses</w:t>
            </w:r>
          </w:p>
        </w:tc>
        <w:tc>
          <w:tcPr>
            <w:tcW w:w="733" w:type="pct"/>
          </w:tcPr>
          <w:p w:rsidR="003C5BD3" w:rsidRDefault="003C5BD3" w:rsidP="008A4F4A">
            <w:pPr>
              <w:pStyle w:val="DecimalAligned"/>
              <w:jc w:val="right"/>
            </w:pPr>
            <w:r>
              <w:t>(54,228)</w:t>
            </w:r>
          </w:p>
        </w:tc>
        <w:tc>
          <w:tcPr>
            <w:tcW w:w="781" w:type="pct"/>
          </w:tcPr>
          <w:p w:rsidR="003C5BD3" w:rsidRDefault="003C5BD3" w:rsidP="008A4F4A">
            <w:pPr>
              <w:pStyle w:val="DecimalAligned"/>
              <w:jc w:val="right"/>
            </w:pPr>
            <w:r>
              <w:t>603,841</w:t>
            </w:r>
          </w:p>
        </w:tc>
        <w:tc>
          <w:tcPr>
            <w:tcW w:w="397" w:type="pct"/>
          </w:tcPr>
          <w:p w:rsidR="003C5BD3" w:rsidRPr="00980D80" w:rsidRDefault="003C5BD3" w:rsidP="008A4F4A">
            <w:pPr>
              <w:pStyle w:val="DecimalAligned"/>
              <w:jc w:val="center"/>
            </w:pPr>
          </w:p>
        </w:tc>
      </w:tr>
      <w:tr w:rsidR="00B36627" w:rsidRPr="00980D80" w:rsidTr="008A4F4A">
        <w:tc>
          <w:tcPr>
            <w:tcW w:w="3089" w:type="pct"/>
            <w:tcBorders>
              <w:top w:val="single" w:sz="12" w:space="0" w:color="auto"/>
              <w:bottom w:val="nil"/>
            </w:tcBorders>
            <w:noWrap/>
          </w:tcPr>
          <w:p w:rsidR="00B36627" w:rsidRPr="00082F80" w:rsidRDefault="00B36627" w:rsidP="008A4F4A">
            <w:pPr>
              <w:rPr>
                <w:sz w:val="22"/>
              </w:rPr>
            </w:pPr>
            <w:r w:rsidRPr="00082F80">
              <w:rPr>
                <w:sz w:val="22"/>
              </w:rPr>
              <w:t>T</w:t>
            </w:r>
            <w:r>
              <w:rPr>
                <w:sz w:val="22"/>
              </w:rPr>
              <w:t>otal Provisions and Reserves</w:t>
            </w:r>
          </w:p>
        </w:tc>
        <w:tc>
          <w:tcPr>
            <w:tcW w:w="733" w:type="pct"/>
            <w:tcBorders>
              <w:top w:val="single" w:sz="12" w:space="0" w:color="auto"/>
              <w:bottom w:val="nil"/>
            </w:tcBorders>
          </w:tcPr>
          <w:p w:rsidR="00B36627" w:rsidRPr="00980D80" w:rsidRDefault="003C5BD3" w:rsidP="008A4F4A">
            <w:pPr>
              <w:pStyle w:val="DecimalAligned"/>
              <w:jc w:val="right"/>
              <w:rPr>
                <w:b/>
              </w:rPr>
            </w:pPr>
            <w:r>
              <w:rPr>
                <w:b/>
              </w:rPr>
              <w:t>(54,328)</w:t>
            </w:r>
          </w:p>
        </w:tc>
        <w:tc>
          <w:tcPr>
            <w:tcW w:w="781" w:type="pct"/>
            <w:tcBorders>
              <w:top w:val="single" w:sz="12" w:space="0" w:color="auto"/>
              <w:bottom w:val="nil"/>
            </w:tcBorders>
          </w:tcPr>
          <w:p w:rsidR="00B36627" w:rsidRPr="00980D80" w:rsidRDefault="003C5BD3" w:rsidP="008A4F4A">
            <w:pPr>
              <w:pStyle w:val="DecimalAligned"/>
              <w:jc w:val="right"/>
              <w:rPr>
                <w:b/>
              </w:rPr>
            </w:pPr>
            <w:r>
              <w:rPr>
                <w:b/>
              </w:rPr>
              <w:t>603,741</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980D80" w:rsidTr="008A4F4A">
        <w:tc>
          <w:tcPr>
            <w:tcW w:w="3089" w:type="pct"/>
            <w:tcBorders>
              <w:top w:val="single" w:sz="12" w:space="0" w:color="auto"/>
              <w:bottom w:val="nil"/>
            </w:tcBorders>
            <w:noWrap/>
          </w:tcPr>
          <w:p w:rsidR="00B36627" w:rsidRPr="00082F80" w:rsidRDefault="00B36627" w:rsidP="008A4F4A">
            <w:pPr>
              <w:rPr>
                <w:sz w:val="22"/>
              </w:rPr>
            </w:pPr>
            <w:r>
              <w:rPr>
                <w:sz w:val="22"/>
              </w:rPr>
              <w:t>Total Financing and Reserves</w:t>
            </w:r>
          </w:p>
        </w:tc>
        <w:tc>
          <w:tcPr>
            <w:tcW w:w="733" w:type="pct"/>
            <w:tcBorders>
              <w:top w:val="single" w:sz="12" w:space="0" w:color="auto"/>
              <w:bottom w:val="nil"/>
            </w:tcBorders>
          </w:tcPr>
          <w:p w:rsidR="00B36627" w:rsidRPr="00980D80" w:rsidRDefault="00440968" w:rsidP="008A4F4A">
            <w:pPr>
              <w:pStyle w:val="DecimalAligned"/>
              <w:jc w:val="right"/>
              <w:rPr>
                <w:b/>
              </w:rPr>
            </w:pPr>
            <w:r>
              <w:rPr>
                <w:b/>
              </w:rPr>
              <w:t>(</w:t>
            </w:r>
            <w:r w:rsidR="003C5BD3">
              <w:rPr>
                <w:b/>
              </w:rPr>
              <w:t>4,380,998</w:t>
            </w:r>
            <w:r>
              <w:rPr>
                <w:b/>
              </w:rPr>
              <w:t>)</w:t>
            </w:r>
          </w:p>
        </w:tc>
        <w:tc>
          <w:tcPr>
            <w:tcW w:w="781" w:type="pct"/>
            <w:tcBorders>
              <w:top w:val="single" w:sz="12" w:space="0" w:color="auto"/>
              <w:bottom w:val="nil"/>
            </w:tcBorders>
          </w:tcPr>
          <w:p w:rsidR="00B36627" w:rsidRPr="00980D80" w:rsidRDefault="00440968" w:rsidP="008A4F4A">
            <w:pPr>
              <w:pStyle w:val="DecimalAligned"/>
              <w:jc w:val="right"/>
              <w:rPr>
                <w:b/>
              </w:rPr>
            </w:pPr>
            <w:r>
              <w:rPr>
                <w:b/>
              </w:rPr>
              <w:t>(</w:t>
            </w:r>
            <w:r w:rsidR="003C5BD3">
              <w:rPr>
                <w:b/>
              </w:rPr>
              <w:t>449,865</w:t>
            </w:r>
            <w:r>
              <w:rPr>
                <w:b/>
              </w:rPr>
              <w:t>)</w:t>
            </w:r>
          </w:p>
        </w:tc>
        <w:tc>
          <w:tcPr>
            <w:tcW w:w="397" w:type="pct"/>
            <w:tcBorders>
              <w:top w:val="single" w:sz="12" w:space="0" w:color="auto"/>
              <w:bottom w:val="nil"/>
            </w:tcBorders>
          </w:tcPr>
          <w:p w:rsidR="00B36627" w:rsidRPr="00980D80" w:rsidRDefault="00B36627" w:rsidP="008A4F4A">
            <w:pPr>
              <w:pStyle w:val="DecimalAligned"/>
              <w:jc w:val="center"/>
              <w:rPr>
                <w:b/>
              </w:rPr>
            </w:pPr>
          </w:p>
        </w:tc>
      </w:tr>
      <w:tr w:rsidR="00B36627" w:rsidRPr="00980D80" w:rsidTr="008A4F4A">
        <w:trPr>
          <w:cnfStyle w:val="010000000000" w:firstRow="0" w:lastRow="1" w:firstColumn="0" w:lastColumn="0" w:oddVBand="0" w:evenVBand="0" w:oddHBand="0" w:evenHBand="0" w:firstRowFirstColumn="0" w:firstRowLastColumn="0" w:lastRowFirstColumn="0" w:lastRowLastColumn="0"/>
        </w:trPr>
        <w:tc>
          <w:tcPr>
            <w:tcW w:w="3089" w:type="pct"/>
            <w:tcBorders>
              <w:top w:val="single" w:sz="12" w:space="0" w:color="auto"/>
              <w:bottom w:val="nil"/>
            </w:tcBorders>
            <w:noWrap/>
          </w:tcPr>
          <w:p w:rsidR="00B36627" w:rsidRPr="00082F80" w:rsidRDefault="00B36627" w:rsidP="008A4F4A">
            <w:pPr>
              <w:rPr>
                <w:sz w:val="22"/>
              </w:rPr>
            </w:pPr>
          </w:p>
        </w:tc>
        <w:tc>
          <w:tcPr>
            <w:tcW w:w="733" w:type="pct"/>
            <w:tcBorders>
              <w:top w:val="single" w:sz="12" w:space="0" w:color="auto"/>
              <w:bottom w:val="nil"/>
            </w:tcBorders>
          </w:tcPr>
          <w:p w:rsidR="00B36627" w:rsidRPr="00980D80" w:rsidRDefault="00B36627" w:rsidP="008A4F4A">
            <w:pPr>
              <w:pStyle w:val="DecimalAligned"/>
              <w:jc w:val="right"/>
              <w:rPr>
                <w:b/>
              </w:rPr>
            </w:pPr>
          </w:p>
        </w:tc>
        <w:tc>
          <w:tcPr>
            <w:tcW w:w="781" w:type="pct"/>
            <w:tcBorders>
              <w:top w:val="single" w:sz="12" w:space="0" w:color="auto"/>
              <w:bottom w:val="nil"/>
            </w:tcBorders>
          </w:tcPr>
          <w:p w:rsidR="00B36627" w:rsidRDefault="00B36627" w:rsidP="008A4F4A">
            <w:pPr>
              <w:pStyle w:val="DecimalAligned"/>
              <w:jc w:val="right"/>
              <w:rPr>
                <w:b/>
              </w:rPr>
            </w:pPr>
          </w:p>
        </w:tc>
        <w:tc>
          <w:tcPr>
            <w:tcW w:w="397" w:type="pct"/>
            <w:tcBorders>
              <w:top w:val="single" w:sz="12" w:space="0" w:color="auto"/>
              <w:bottom w:val="nil"/>
            </w:tcBorders>
          </w:tcPr>
          <w:p w:rsidR="00B36627" w:rsidRPr="00980D80" w:rsidRDefault="00B36627" w:rsidP="008A4F4A">
            <w:pPr>
              <w:pStyle w:val="DecimalAligned"/>
              <w:jc w:val="center"/>
              <w:rPr>
                <w:b/>
              </w:rPr>
            </w:pPr>
          </w:p>
        </w:tc>
      </w:tr>
    </w:tbl>
    <w:p w:rsidR="00C10D45" w:rsidRDefault="000E374C" w:rsidP="00C10D45">
      <w:pPr>
        <w:pStyle w:val="Heading2"/>
        <w:rPr>
          <w:color w:val="005386"/>
        </w:rPr>
      </w:pPr>
      <w:r>
        <w:rPr>
          <w:color w:val="005386"/>
        </w:rPr>
        <w:lastRenderedPageBreak/>
        <w:t xml:space="preserve">Group </w:t>
      </w:r>
      <w:r w:rsidR="00B36627">
        <w:rPr>
          <w:color w:val="005386"/>
        </w:rPr>
        <w:t>Statement of Profit and Loss and Comprehensive Income</w:t>
      </w:r>
    </w:p>
    <w:p w:rsidR="000E374C" w:rsidRDefault="00A71723" w:rsidP="000E374C">
      <w:pPr>
        <w:keepNext/>
        <w:spacing w:after="240" w:line="240" w:lineRule="auto"/>
        <w:outlineLvl w:val="1"/>
        <w:rPr>
          <w:rFonts w:eastAsiaTheme="majorEastAsia" w:cstheme="majorBidi"/>
          <w:b w:val="0"/>
          <w:color w:val="005386"/>
          <w:sz w:val="24"/>
          <w:szCs w:val="24"/>
        </w:rPr>
      </w:pPr>
      <w:r>
        <w:rPr>
          <w:rFonts w:eastAsiaTheme="majorEastAsia" w:cstheme="majorBidi"/>
          <w:b w:val="0"/>
          <w:color w:val="005386"/>
          <w:sz w:val="24"/>
          <w:szCs w:val="24"/>
        </w:rPr>
        <w:t>For the year ending</w:t>
      </w:r>
      <w:r w:rsidR="000E374C" w:rsidRPr="000E374C">
        <w:rPr>
          <w:rFonts w:eastAsiaTheme="majorEastAsia" w:cstheme="majorBidi"/>
          <w:b w:val="0"/>
          <w:color w:val="005386"/>
          <w:sz w:val="24"/>
          <w:szCs w:val="24"/>
        </w:rPr>
        <w:t xml:space="preserve"> 31 March</w:t>
      </w:r>
    </w:p>
    <w:tbl>
      <w:tblPr>
        <w:tblStyle w:val="MediumShading2-Accent5"/>
        <w:tblW w:w="5000" w:type="pct"/>
        <w:tblLook w:val="0660" w:firstRow="1" w:lastRow="1" w:firstColumn="0" w:lastColumn="0" w:noHBand="1" w:noVBand="1"/>
      </w:tblPr>
      <w:tblGrid>
        <w:gridCol w:w="6233"/>
        <w:gridCol w:w="1509"/>
        <w:gridCol w:w="1606"/>
        <w:gridCol w:w="806"/>
      </w:tblGrid>
      <w:tr w:rsidR="00B36627" w:rsidTr="00B36627">
        <w:trPr>
          <w:cnfStyle w:val="100000000000" w:firstRow="1" w:lastRow="0" w:firstColumn="0" w:lastColumn="0" w:oddVBand="0" w:evenVBand="0" w:oddHBand="0" w:evenHBand="0" w:firstRowFirstColumn="0" w:firstRowLastColumn="0" w:lastRowFirstColumn="0" w:lastRowLastColumn="0"/>
        </w:trPr>
        <w:tc>
          <w:tcPr>
            <w:tcW w:w="3069" w:type="pct"/>
            <w:shd w:val="clear" w:color="auto" w:fill="0070C0"/>
            <w:noWrap/>
          </w:tcPr>
          <w:p w:rsidR="00B36627" w:rsidRPr="000349B6" w:rsidRDefault="00B36627" w:rsidP="00B36627">
            <w:pPr>
              <w:rPr>
                <w:b/>
                <w:color w:val="FFFFFF" w:themeColor="background1"/>
              </w:rPr>
            </w:pPr>
          </w:p>
        </w:tc>
        <w:tc>
          <w:tcPr>
            <w:tcW w:w="743" w:type="pct"/>
            <w:shd w:val="clear" w:color="auto" w:fill="0070C0"/>
          </w:tcPr>
          <w:p w:rsidR="00B36627" w:rsidRPr="000349B6" w:rsidRDefault="00B36627" w:rsidP="00B36627">
            <w:pPr>
              <w:jc w:val="right"/>
              <w:rPr>
                <w:b/>
                <w:color w:val="FFFFFF" w:themeColor="background1"/>
              </w:rPr>
            </w:pPr>
            <w:r>
              <w:rPr>
                <w:b/>
                <w:color w:val="FFFFFF" w:themeColor="background1"/>
              </w:rPr>
              <w:t>2018/19</w:t>
            </w:r>
          </w:p>
        </w:tc>
        <w:tc>
          <w:tcPr>
            <w:tcW w:w="791" w:type="pct"/>
            <w:shd w:val="clear" w:color="auto" w:fill="0070C0"/>
          </w:tcPr>
          <w:p w:rsidR="00B36627" w:rsidRPr="000349B6" w:rsidRDefault="00B36627" w:rsidP="00B36627">
            <w:pPr>
              <w:jc w:val="right"/>
              <w:rPr>
                <w:b/>
                <w:color w:val="FFFFFF" w:themeColor="background1"/>
              </w:rPr>
            </w:pPr>
            <w:r>
              <w:rPr>
                <w:b/>
                <w:color w:val="FFFFFF" w:themeColor="background1"/>
              </w:rPr>
              <w:t>2017/18</w:t>
            </w:r>
          </w:p>
        </w:tc>
        <w:tc>
          <w:tcPr>
            <w:tcW w:w="397" w:type="pct"/>
            <w:shd w:val="clear" w:color="auto" w:fill="0070C0"/>
          </w:tcPr>
          <w:p w:rsidR="00B36627" w:rsidRPr="000349B6" w:rsidRDefault="00B36627" w:rsidP="00B36627">
            <w:pPr>
              <w:rPr>
                <w:b/>
                <w:color w:val="FFFFFF" w:themeColor="background1"/>
              </w:rPr>
            </w:pPr>
            <w:r>
              <w:rPr>
                <w:b/>
                <w:color w:val="FFFFFF" w:themeColor="background1"/>
              </w:rPr>
              <w:t>Note</w:t>
            </w:r>
          </w:p>
        </w:tc>
      </w:tr>
      <w:tr w:rsidR="00B36627" w:rsidRPr="00980D80" w:rsidTr="00B36627">
        <w:tc>
          <w:tcPr>
            <w:tcW w:w="3069" w:type="pct"/>
            <w:noWrap/>
          </w:tcPr>
          <w:p w:rsidR="00B36627" w:rsidRPr="00980D80" w:rsidRDefault="00B36627" w:rsidP="00B36627">
            <w:pPr>
              <w:rPr>
                <w:sz w:val="22"/>
              </w:rPr>
            </w:pPr>
          </w:p>
        </w:tc>
        <w:tc>
          <w:tcPr>
            <w:tcW w:w="743" w:type="pct"/>
          </w:tcPr>
          <w:p w:rsidR="00B36627" w:rsidRPr="00980D80" w:rsidRDefault="00B36627" w:rsidP="00B36627">
            <w:pPr>
              <w:jc w:val="right"/>
              <w:rPr>
                <w:rStyle w:val="SubtleEmphasis"/>
                <w:sz w:val="22"/>
              </w:rPr>
            </w:pPr>
            <w:r w:rsidRPr="00980D80">
              <w:rPr>
                <w:rStyle w:val="SubtleEmphasis"/>
                <w:sz w:val="22"/>
              </w:rPr>
              <w:t>£</w:t>
            </w:r>
          </w:p>
        </w:tc>
        <w:tc>
          <w:tcPr>
            <w:tcW w:w="791" w:type="pct"/>
          </w:tcPr>
          <w:p w:rsidR="00B36627" w:rsidRPr="00980D80" w:rsidRDefault="00B36627" w:rsidP="00B36627">
            <w:pPr>
              <w:jc w:val="right"/>
              <w:rPr>
                <w:i/>
                <w:sz w:val="22"/>
              </w:rPr>
            </w:pPr>
            <w:r w:rsidRPr="00980D80">
              <w:rPr>
                <w:i/>
                <w:sz w:val="22"/>
              </w:rPr>
              <w:t>£</w:t>
            </w:r>
          </w:p>
        </w:tc>
        <w:tc>
          <w:tcPr>
            <w:tcW w:w="397" w:type="pct"/>
          </w:tcPr>
          <w:p w:rsidR="00B36627" w:rsidRPr="00980D80" w:rsidRDefault="00B36627" w:rsidP="00B36627">
            <w:pPr>
              <w:jc w:val="center"/>
              <w:rPr>
                <w:sz w:val="22"/>
              </w:rPr>
            </w:pPr>
          </w:p>
        </w:tc>
      </w:tr>
      <w:tr w:rsidR="00B36627" w:rsidRPr="00980D80" w:rsidTr="00B36627">
        <w:tc>
          <w:tcPr>
            <w:tcW w:w="3069" w:type="pct"/>
            <w:tcBorders>
              <w:bottom w:val="single" w:sz="12" w:space="0" w:color="auto"/>
            </w:tcBorders>
            <w:noWrap/>
          </w:tcPr>
          <w:p w:rsidR="00B36627" w:rsidRPr="00980D80" w:rsidRDefault="00B36627" w:rsidP="00B36627">
            <w:pPr>
              <w:rPr>
                <w:b w:val="0"/>
                <w:sz w:val="22"/>
              </w:rPr>
            </w:pPr>
            <w:r w:rsidRPr="00980D80">
              <w:rPr>
                <w:b w:val="0"/>
                <w:sz w:val="22"/>
              </w:rPr>
              <w:t>Rent Receivables</w:t>
            </w:r>
          </w:p>
        </w:tc>
        <w:tc>
          <w:tcPr>
            <w:tcW w:w="743" w:type="pct"/>
            <w:tcBorders>
              <w:bottom w:val="single" w:sz="12" w:space="0" w:color="auto"/>
            </w:tcBorders>
          </w:tcPr>
          <w:p w:rsidR="00B36627" w:rsidRPr="00980D80" w:rsidRDefault="00C949CF" w:rsidP="00B36627">
            <w:pPr>
              <w:pStyle w:val="DecimalAligned"/>
              <w:jc w:val="right"/>
            </w:pPr>
            <w:r>
              <w:t>97,488</w:t>
            </w:r>
          </w:p>
        </w:tc>
        <w:tc>
          <w:tcPr>
            <w:tcW w:w="791" w:type="pct"/>
            <w:tcBorders>
              <w:bottom w:val="single" w:sz="12" w:space="0" w:color="auto"/>
            </w:tcBorders>
          </w:tcPr>
          <w:p w:rsidR="00B36627" w:rsidRPr="00980D80" w:rsidRDefault="00C949CF" w:rsidP="00B36627">
            <w:pPr>
              <w:pStyle w:val="DecimalAligned"/>
              <w:jc w:val="right"/>
            </w:pPr>
            <w:r>
              <w:t>52,796</w:t>
            </w:r>
          </w:p>
        </w:tc>
        <w:tc>
          <w:tcPr>
            <w:tcW w:w="397" w:type="pct"/>
            <w:tcBorders>
              <w:bottom w:val="single" w:sz="12" w:space="0" w:color="auto"/>
            </w:tcBorders>
          </w:tcPr>
          <w:p w:rsidR="00B36627" w:rsidRPr="00980D80" w:rsidRDefault="009F2903" w:rsidP="00B36627">
            <w:pPr>
              <w:pStyle w:val="DecimalAligned"/>
              <w:jc w:val="center"/>
            </w:pPr>
            <w:r>
              <w:t>5</w:t>
            </w:r>
          </w:p>
        </w:tc>
      </w:tr>
      <w:tr w:rsidR="00B36627" w:rsidRPr="00980D80" w:rsidTr="00B36627">
        <w:tc>
          <w:tcPr>
            <w:tcW w:w="3069" w:type="pct"/>
            <w:tcBorders>
              <w:top w:val="single" w:sz="12" w:space="0" w:color="auto"/>
              <w:bottom w:val="nil"/>
            </w:tcBorders>
            <w:noWrap/>
          </w:tcPr>
          <w:p w:rsidR="00B36627" w:rsidRPr="00980D80" w:rsidRDefault="00C949CF" w:rsidP="00C949CF">
            <w:pPr>
              <w:rPr>
                <w:sz w:val="22"/>
              </w:rPr>
            </w:pPr>
            <w:r>
              <w:rPr>
                <w:sz w:val="22"/>
              </w:rPr>
              <w:t>Gross Profit</w:t>
            </w:r>
          </w:p>
        </w:tc>
        <w:tc>
          <w:tcPr>
            <w:tcW w:w="743" w:type="pct"/>
            <w:tcBorders>
              <w:top w:val="single" w:sz="12" w:space="0" w:color="auto"/>
              <w:bottom w:val="nil"/>
            </w:tcBorders>
          </w:tcPr>
          <w:p w:rsidR="00B36627" w:rsidRPr="00980D80" w:rsidRDefault="00C949CF" w:rsidP="00B36627">
            <w:pPr>
              <w:pStyle w:val="DecimalAligned"/>
              <w:jc w:val="right"/>
              <w:rPr>
                <w:b/>
              </w:rPr>
            </w:pPr>
            <w:r>
              <w:rPr>
                <w:b/>
              </w:rPr>
              <w:t>97,488</w:t>
            </w:r>
          </w:p>
        </w:tc>
        <w:tc>
          <w:tcPr>
            <w:tcW w:w="791" w:type="pct"/>
            <w:tcBorders>
              <w:top w:val="single" w:sz="12" w:space="0" w:color="auto"/>
              <w:bottom w:val="nil"/>
            </w:tcBorders>
          </w:tcPr>
          <w:p w:rsidR="00B36627" w:rsidRPr="00980D80" w:rsidRDefault="00C949CF" w:rsidP="00B36627">
            <w:pPr>
              <w:pStyle w:val="DecimalAligned"/>
              <w:jc w:val="right"/>
              <w:rPr>
                <w:b/>
              </w:rPr>
            </w:pPr>
            <w:r>
              <w:rPr>
                <w:b/>
              </w:rPr>
              <w:t>52,796</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B36627" w:rsidRPr="00980D80" w:rsidTr="00B36627">
        <w:tc>
          <w:tcPr>
            <w:tcW w:w="3069" w:type="pct"/>
            <w:noWrap/>
          </w:tcPr>
          <w:p w:rsidR="00B36627" w:rsidRPr="00980D80" w:rsidRDefault="00C949CF" w:rsidP="00B36627">
            <w:pPr>
              <w:rPr>
                <w:b w:val="0"/>
                <w:sz w:val="22"/>
              </w:rPr>
            </w:pPr>
            <w:r>
              <w:rPr>
                <w:b w:val="0"/>
                <w:sz w:val="22"/>
              </w:rPr>
              <w:t>Other Income</w:t>
            </w:r>
          </w:p>
        </w:tc>
        <w:tc>
          <w:tcPr>
            <w:tcW w:w="743" w:type="pct"/>
          </w:tcPr>
          <w:p w:rsidR="00B36627" w:rsidRPr="00980D80" w:rsidRDefault="00B36627" w:rsidP="00B36627">
            <w:pPr>
              <w:pStyle w:val="DecimalAligned"/>
              <w:jc w:val="right"/>
            </w:pPr>
            <w:r w:rsidRPr="00980D80">
              <w:t>0</w:t>
            </w:r>
          </w:p>
        </w:tc>
        <w:tc>
          <w:tcPr>
            <w:tcW w:w="791" w:type="pct"/>
          </w:tcPr>
          <w:p w:rsidR="00B36627" w:rsidRPr="00980D80" w:rsidRDefault="00B36627" w:rsidP="00B36627">
            <w:pPr>
              <w:pStyle w:val="DecimalAligned"/>
              <w:jc w:val="right"/>
            </w:pPr>
            <w:r>
              <w:t>0</w:t>
            </w:r>
          </w:p>
        </w:tc>
        <w:tc>
          <w:tcPr>
            <w:tcW w:w="397" w:type="pct"/>
          </w:tcPr>
          <w:p w:rsidR="00B36627" w:rsidRPr="00980D80" w:rsidRDefault="00B36627" w:rsidP="00B36627">
            <w:pPr>
              <w:pStyle w:val="DecimalAligned"/>
              <w:jc w:val="center"/>
            </w:pPr>
          </w:p>
        </w:tc>
      </w:tr>
      <w:tr w:rsidR="00B36627" w:rsidRPr="00980D80" w:rsidTr="00B36627">
        <w:tc>
          <w:tcPr>
            <w:tcW w:w="3069" w:type="pct"/>
            <w:noWrap/>
          </w:tcPr>
          <w:p w:rsidR="00B36627" w:rsidRPr="00980D80" w:rsidRDefault="00C949CF" w:rsidP="00B36627">
            <w:pPr>
              <w:rPr>
                <w:b w:val="0"/>
                <w:sz w:val="22"/>
              </w:rPr>
            </w:pPr>
            <w:r>
              <w:rPr>
                <w:b w:val="0"/>
                <w:sz w:val="22"/>
              </w:rPr>
              <w:t>Administrative Expenses</w:t>
            </w:r>
          </w:p>
        </w:tc>
        <w:tc>
          <w:tcPr>
            <w:tcW w:w="743" w:type="pct"/>
          </w:tcPr>
          <w:p w:rsidR="00B36627" w:rsidRPr="00980D80" w:rsidRDefault="0054462A" w:rsidP="00B36627">
            <w:pPr>
              <w:pStyle w:val="DecimalAligned"/>
              <w:jc w:val="right"/>
            </w:pPr>
            <w:r>
              <w:t>(443,120)</w:t>
            </w:r>
          </w:p>
        </w:tc>
        <w:tc>
          <w:tcPr>
            <w:tcW w:w="791" w:type="pct"/>
          </w:tcPr>
          <w:p w:rsidR="00B36627" w:rsidRPr="00980D80" w:rsidRDefault="0054462A" w:rsidP="0054462A">
            <w:pPr>
              <w:pStyle w:val="DecimalAligned"/>
              <w:jc w:val="right"/>
            </w:pPr>
            <w:r>
              <w:t>(570,565)</w:t>
            </w:r>
          </w:p>
        </w:tc>
        <w:tc>
          <w:tcPr>
            <w:tcW w:w="397" w:type="pct"/>
          </w:tcPr>
          <w:p w:rsidR="00B36627" w:rsidRPr="00980D80" w:rsidRDefault="009F2903" w:rsidP="00B36627">
            <w:pPr>
              <w:pStyle w:val="DecimalAligned"/>
              <w:jc w:val="center"/>
            </w:pPr>
            <w:r>
              <w:t>6</w:t>
            </w:r>
          </w:p>
        </w:tc>
      </w:tr>
      <w:tr w:rsidR="00B36627" w:rsidRPr="00980D80" w:rsidTr="00B36627">
        <w:tc>
          <w:tcPr>
            <w:tcW w:w="3069" w:type="pct"/>
            <w:tcBorders>
              <w:top w:val="single" w:sz="12" w:space="0" w:color="auto"/>
              <w:bottom w:val="nil"/>
            </w:tcBorders>
            <w:noWrap/>
          </w:tcPr>
          <w:p w:rsidR="00B36627" w:rsidRPr="00980D80" w:rsidRDefault="0054462A" w:rsidP="0054462A">
            <w:pPr>
              <w:rPr>
                <w:sz w:val="22"/>
              </w:rPr>
            </w:pPr>
            <w:r>
              <w:rPr>
                <w:sz w:val="22"/>
              </w:rPr>
              <w:t>Operating Surplus/(Loss</w:t>
            </w:r>
            <w:r w:rsidR="00B36627" w:rsidRPr="00980D80">
              <w:rPr>
                <w:sz w:val="22"/>
              </w:rPr>
              <w:t>)</w:t>
            </w:r>
          </w:p>
        </w:tc>
        <w:tc>
          <w:tcPr>
            <w:tcW w:w="743" w:type="pct"/>
            <w:tcBorders>
              <w:top w:val="single" w:sz="12" w:space="0" w:color="auto"/>
              <w:bottom w:val="nil"/>
            </w:tcBorders>
          </w:tcPr>
          <w:p w:rsidR="00B36627" w:rsidRPr="00980D80" w:rsidRDefault="0054462A" w:rsidP="00B36627">
            <w:pPr>
              <w:pStyle w:val="DecimalAligned"/>
              <w:jc w:val="right"/>
              <w:rPr>
                <w:b/>
              </w:rPr>
            </w:pPr>
            <w:r>
              <w:rPr>
                <w:b/>
              </w:rPr>
              <w:t>(345,632)</w:t>
            </w:r>
          </w:p>
        </w:tc>
        <w:tc>
          <w:tcPr>
            <w:tcW w:w="791" w:type="pct"/>
            <w:tcBorders>
              <w:top w:val="single" w:sz="12" w:space="0" w:color="auto"/>
              <w:bottom w:val="nil"/>
            </w:tcBorders>
          </w:tcPr>
          <w:p w:rsidR="00B36627" w:rsidRPr="00980D80" w:rsidRDefault="0054462A" w:rsidP="00B36627">
            <w:pPr>
              <w:pStyle w:val="DecimalAligned"/>
              <w:jc w:val="right"/>
              <w:rPr>
                <w:b/>
              </w:rPr>
            </w:pPr>
            <w:r>
              <w:rPr>
                <w:b/>
              </w:rPr>
              <w:t>(517,769)</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B36627" w:rsidRPr="00980D80" w:rsidTr="00B36627">
        <w:tc>
          <w:tcPr>
            <w:tcW w:w="3069" w:type="pct"/>
            <w:noWrap/>
          </w:tcPr>
          <w:p w:rsidR="00B36627" w:rsidRPr="00980D80" w:rsidRDefault="00B36627" w:rsidP="00B36627">
            <w:pPr>
              <w:rPr>
                <w:b w:val="0"/>
                <w:sz w:val="22"/>
              </w:rPr>
            </w:pPr>
            <w:r w:rsidRPr="00980D80">
              <w:rPr>
                <w:b w:val="0"/>
                <w:sz w:val="22"/>
              </w:rPr>
              <w:t>Interest Payable And Similar Charges</w:t>
            </w:r>
          </w:p>
        </w:tc>
        <w:tc>
          <w:tcPr>
            <w:tcW w:w="743" w:type="pct"/>
          </w:tcPr>
          <w:p w:rsidR="00B36627" w:rsidRPr="00980D80" w:rsidRDefault="0054462A" w:rsidP="00B36627">
            <w:pPr>
              <w:jc w:val="right"/>
              <w:rPr>
                <w:rStyle w:val="SubtleEmphasis"/>
                <w:b w:val="0"/>
                <w:i w:val="0"/>
                <w:sz w:val="22"/>
              </w:rPr>
            </w:pPr>
            <w:r>
              <w:rPr>
                <w:rStyle w:val="SubtleEmphasis"/>
                <w:b w:val="0"/>
                <w:i w:val="0"/>
                <w:sz w:val="22"/>
              </w:rPr>
              <w:t>(114,612)</w:t>
            </w:r>
          </w:p>
        </w:tc>
        <w:tc>
          <w:tcPr>
            <w:tcW w:w="791" w:type="pct"/>
          </w:tcPr>
          <w:p w:rsidR="00B36627" w:rsidRPr="00980D80" w:rsidRDefault="0054462A" w:rsidP="00B36627">
            <w:pPr>
              <w:jc w:val="right"/>
              <w:rPr>
                <w:b w:val="0"/>
                <w:sz w:val="22"/>
              </w:rPr>
            </w:pPr>
            <w:r>
              <w:rPr>
                <w:b w:val="0"/>
                <w:sz w:val="22"/>
              </w:rPr>
              <w:t>(29,860)</w:t>
            </w:r>
          </w:p>
        </w:tc>
        <w:tc>
          <w:tcPr>
            <w:tcW w:w="397" w:type="pct"/>
          </w:tcPr>
          <w:p w:rsidR="00B36627" w:rsidRPr="0054462A" w:rsidRDefault="0054462A" w:rsidP="00B36627">
            <w:pPr>
              <w:jc w:val="center"/>
              <w:rPr>
                <w:b w:val="0"/>
                <w:sz w:val="22"/>
              </w:rPr>
            </w:pPr>
            <w:r>
              <w:rPr>
                <w:sz w:val="22"/>
              </w:rPr>
              <w:t xml:space="preserve">     </w:t>
            </w:r>
            <w:r w:rsidR="0012428B">
              <w:rPr>
                <w:b w:val="0"/>
                <w:sz w:val="22"/>
              </w:rPr>
              <w:t>7</w:t>
            </w:r>
          </w:p>
        </w:tc>
      </w:tr>
      <w:tr w:rsidR="00B36627" w:rsidRPr="00980D80" w:rsidTr="00B36627">
        <w:tc>
          <w:tcPr>
            <w:tcW w:w="3069" w:type="pct"/>
            <w:tcBorders>
              <w:top w:val="single" w:sz="12" w:space="0" w:color="auto"/>
              <w:bottom w:val="nil"/>
            </w:tcBorders>
            <w:noWrap/>
          </w:tcPr>
          <w:p w:rsidR="00B36627" w:rsidRPr="00980D80" w:rsidRDefault="0054462A" w:rsidP="00B36627">
            <w:pPr>
              <w:rPr>
                <w:sz w:val="22"/>
              </w:rPr>
            </w:pPr>
            <w:r>
              <w:rPr>
                <w:sz w:val="22"/>
              </w:rPr>
              <w:t>Surplus/(Loss</w:t>
            </w:r>
            <w:r w:rsidR="00B36627" w:rsidRPr="00980D80">
              <w:rPr>
                <w:sz w:val="22"/>
              </w:rPr>
              <w:t>) Before Tax</w:t>
            </w:r>
          </w:p>
        </w:tc>
        <w:tc>
          <w:tcPr>
            <w:tcW w:w="743" w:type="pct"/>
            <w:tcBorders>
              <w:top w:val="single" w:sz="12" w:space="0" w:color="auto"/>
              <w:bottom w:val="nil"/>
            </w:tcBorders>
          </w:tcPr>
          <w:p w:rsidR="00B36627" w:rsidRPr="00980D80" w:rsidRDefault="0054462A" w:rsidP="00B36627">
            <w:pPr>
              <w:pStyle w:val="DecimalAligned"/>
              <w:jc w:val="right"/>
              <w:rPr>
                <w:b/>
              </w:rPr>
            </w:pPr>
            <w:r>
              <w:rPr>
                <w:b/>
              </w:rPr>
              <w:t>(460,244)</w:t>
            </w:r>
          </w:p>
        </w:tc>
        <w:tc>
          <w:tcPr>
            <w:tcW w:w="791" w:type="pct"/>
            <w:tcBorders>
              <w:top w:val="single" w:sz="12" w:space="0" w:color="auto"/>
              <w:bottom w:val="nil"/>
            </w:tcBorders>
          </w:tcPr>
          <w:p w:rsidR="00B36627" w:rsidRPr="00980D80" w:rsidRDefault="0054462A" w:rsidP="00B36627">
            <w:pPr>
              <w:pStyle w:val="DecimalAligned"/>
              <w:jc w:val="right"/>
              <w:rPr>
                <w:b/>
              </w:rPr>
            </w:pPr>
            <w:r>
              <w:rPr>
                <w:b/>
              </w:rPr>
              <w:t>(547,629)</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B36627" w:rsidRPr="00980D80" w:rsidTr="00B36627">
        <w:tc>
          <w:tcPr>
            <w:tcW w:w="3069" w:type="pct"/>
            <w:noWrap/>
          </w:tcPr>
          <w:p w:rsidR="00B36627" w:rsidRPr="00980D80" w:rsidRDefault="00B36627" w:rsidP="00B36627">
            <w:pPr>
              <w:rPr>
                <w:b w:val="0"/>
                <w:sz w:val="22"/>
              </w:rPr>
            </w:pPr>
            <w:r w:rsidRPr="00980D80">
              <w:rPr>
                <w:b w:val="0"/>
                <w:sz w:val="22"/>
              </w:rPr>
              <w:t>Corporation Tax</w:t>
            </w:r>
          </w:p>
        </w:tc>
        <w:tc>
          <w:tcPr>
            <w:tcW w:w="743" w:type="pct"/>
          </w:tcPr>
          <w:p w:rsidR="00B36627" w:rsidRPr="00980D80" w:rsidRDefault="00B36627" w:rsidP="00B36627">
            <w:pPr>
              <w:pStyle w:val="DecimalAligned"/>
              <w:jc w:val="right"/>
            </w:pPr>
            <w:r w:rsidRPr="00980D80">
              <w:t>0</w:t>
            </w:r>
          </w:p>
        </w:tc>
        <w:tc>
          <w:tcPr>
            <w:tcW w:w="791" w:type="pct"/>
          </w:tcPr>
          <w:p w:rsidR="00B36627" w:rsidRPr="00980D80" w:rsidRDefault="00B36627" w:rsidP="00B36627">
            <w:pPr>
              <w:pStyle w:val="DecimalAligned"/>
              <w:jc w:val="right"/>
            </w:pPr>
            <w:r w:rsidRPr="00980D80">
              <w:t>0</w:t>
            </w:r>
          </w:p>
        </w:tc>
        <w:tc>
          <w:tcPr>
            <w:tcW w:w="397" w:type="pct"/>
          </w:tcPr>
          <w:p w:rsidR="00B36627" w:rsidRPr="00980D80" w:rsidRDefault="0012428B" w:rsidP="00B36627">
            <w:pPr>
              <w:pStyle w:val="DecimalAligned"/>
              <w:jc w:val="center"/>
            </w:pPr>
            <w:r>
              <w:t>8</w:t>
            </w:r>
          </w:p>
        </w:tc>
      </w:tr>
      <w:tr w:rsidR="00B36627" w:rsidRPr="00980D80" w:rsidTr="00B36627">
        <w:tc>
          <w:tcPr>
            <w:tcW w:w="3069" w:type="pct"/>
            <w:tcBorders>
              <w:top w:val="single" w:sz="12" w:space="0" w:color="auto"/>
              <w:bottom w:val="nil"/>
            </w:tcBorders>
            <w:noWrap/>
          </w:tcPr>
          <w:p w:rsidR="00B36627" w:rsidRPr="00980D80" w:rsidRDefault="00B36627" w:rsidP="00B36627">
            <w:pPr>
              <w:rPr>
                <w:sz w:val="22"/>
              </w:rPr>
            </w:pPr>
            <w:r w:rsidRPr="00980D80">
              <w:rPr>
                <w:sz w:val="22"/>
              </w:rPr>
              <w:t>Surplus/(Def) After Tax</w:t>
            </w:r>
          </w:p>
        </w:tc>
        <w:tc>
          <w:tcPr>
            <w:tcW w:w="743" w:type="pct"/>
            <w:tcBorders>
              <w:top w:val="single" w:sz="12" w:space="0" w:color="auto"/>
              <w:bottom w:val="nil"/>
            </w:tcBorders>
          </w:tcPr>
          <w:p w:rsidR="00B36627" w:rsidRPr="00980D80" w:rsidRDefault="0054462A" w:rsidP="00B36627">
            <w:pPr>
              <w:pStyle w:val="DecimalAligned"/>
              <w:jc w:val="right"/>
              <w:rPr>
                <w:b/>
              </w:rPr>
            </w:pPr>
            <w:r>
              <w:rPr>
                <w:b/>
              </w:rPr>
              <w:t>(460,244)</w:t>
            </w:r>
          </w:p>
        </w:tc>
        <w:tc>
          <w:tcPr>
            <w:tcW w:w="791" w:type="pct"/>
            <w:tcBorders>
              <w:top w:val="single" w:sz="12" w:space="0" w:color="auto"/>
              <w:bottom w:val="nil"/>
            </w:tcBorders>
          </w:tcPr>
          <w:p w:rsidR="00B36627" w:rsidRPr="00980D80" w:rsidRDefault="0054462A" w:rsidP="0054462A">
            <w:pPr>
              <w:pStyle w:val="DecimalAligned"/>
              <w:jc w:val="right"/>
              <w:rPr>
                <w:b/>
              </w:rPr>
            </w:pPr>
            <w:r>
              <w:rPr>
                <w:b/>
              </w:rPr>
              <w:t>(547,629)</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B36627" w:rsidRPr="00980D80" w:rsidTr="00B36627">
        <w:tc>
          <w:tcPr>
            <w:tcW w:w="3069" w:type="pct"/>
            <w:noWrap/>
          </w:tcPr>
          <w:p w:rsidR="00B36627" w:rsidRPr="00980D80" w:rsidRDefault="0054462A" w:rsidP="0054462A">
            <w:pPr>
              <w:rPr>
                <w:b w:val="0"/>
                <w:sz w:val="22"/>
              </w:rPr>
            </w:pPr>
            <w:r>
              <w:rPr>
                <w:b w:val="0"/>
                <w:sz w:val="22"/>
              </w:rPr>
              <w:t>Unrealised Surplus/(Loss)</w:t>
            </w:r>
            <w:r w:rsidR="00B36627" w:rsidRPr="00980D80">
              <w:rPr>
                <w:b w:val="0"/>
                <w:sz w:val="22"/>
              </w:rPr>
              <w:t xml:space="preserve"> On Revaluations</w:t>
            </w:r>
          </w:p>
        </w:tc>
        <w:tc>
          <w:tcPr>
            <w:tcW w:w="743" w:type="pct"/>
          </w:tcPr>
          <w:p w:rsidR="00B36627" w:rsidRPr="00980D80" w:rsidRDefault="0054462A" w:rsidP="00B36627">
            <w:pPr>
              <w:pStyle w:val="DecimalAligned"/>
              <w:jc w:val="right"/>
            </w:pPr>
            <w:r>
              <w:t>1,118,313</w:t>
            </w:r>
          </w:p>
        </w:tc>
        <w:tc>
          <w:tcPr>
            <w:tcW w:w="791" w:type="pct"/>
          </w:tcPr>
          <w:p w:rsidR="00B36627" w:rsidRPr="00980D80" w:rsidRDefault="00B36627" w:rsidP="00B36627">
            <w:pPr>
              <w:pStyle w:val="DecimalAligned"/>
              <w:jc w:val="right"/>
            </w:pPr>
            <w:r>
              <w:t>0</w:t>
            </w:r>
          </w:p>
        </w:tc>
        <w:tc>
          <w:tcPr>
            <w:tcW w:w="397" w:type="pct"/>
          </w:tcPr>
          <w:p w:rsidR="00B36627" w:rsidRPr="00980D80" w:rsidRDefault="00EE6156" w:rsidP="00B36627">
            <w:pPr>
              <w:pStyle w:val="DecimalAligned"/>
              <w:jc w:val="center"/>
            </w:pPr>
            <w:r>
              <w:t>1</w:t>
            </w:r>
          </w:p>
        </w:tc>
      </w:tr>
      <w:tr w:rsidR="00B36627" w:rsidRPr="00980D80" w:rsidTr="00B36627">
        <w:tc>
          <w:tcPr>
            <w:tcW w:w="3069" w:type="pct"/>
            <w:tcBorders>
              <w:top w:val="single" w:sz="12" w:space="0" w:color="auto"/>
              <w:bottom w:val="nil"/>
            </w:tcBorders>
            <w:noWrap/>
          </w:tcPr>
          <w:p w:rsidR="00B36627" w:rsidRPr="00980D80" w:rsidRDefault="00B36627" w:rsidP="00B36627">
            <w:pPr>
              <w:rPr>
                <w:sz w:val="22"/>
              </w:rPr>
            </w:pPr>
            <w:r w:rsidRPr="00980D80">
              <w:rPr>
                <w:sz w:val="22"/>
              </w:rPr>
              <w:t>Total Comprehensive Income For The Year</w:t>
            </w:r>
          </w:p>
        </w:tc>
        <w:tc>
          <w:tcPr>
            <w:tcW w:w="743" w:type="pct"/>
            <w:tcBorders>
              <w:top w:val="single" w:sz="12" w:space="0" w:color="auto"/>
              <w:bottom w:val="nil"/>
            </w:tcBorders>
          </w:tcPr>
          <w:p w:rsidR="00B36627" w:rsidRPr="00980D80" w:rsidRDefault="0054462A" w:rsidP="00B36627">
            <w:pPr>
              <w:pStyle w:val="DecimalAligned"/>
              <w:jc w:val="right"/>
              <w:rPr>
                <w:b/>
              </w:rPr>
            </w:pPr>
            <w:r>
              <w:rPr>
                <w:b/>
              </w:rPr>
              <w:t>658,069</w:t>
            </w:r>
          </w:p>
        </w:tc>
        <w:tc>
          <w:tcPr>
            <w:tcW w:w="791" w:type="pct"/>
            <w:tcBorders>
              <w:top w:val="single" w:sz="12" w:space="0" w:color="auto"/>
              <w:bottom w:val="nil"/>
            </w:tcBorders>
          </w:tcPr>
          <w:p w:rsidR="00B36627" w:rsidRPr="00980D80" w:rsidRDefault="0054462A" w:rsidP="00B36627">
            <w:pPr>
              <w:pStyle w:val="DecimalAligned"/>
              <w:jc w:val="right"/>
              <w:rPr>
                <w:b/>
              </w:rPr>
            </w:pPr>
            <w:r>
              <w:rPr>
                <w:b/>
              </w:rPr>
              <w:t>(547,629)</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B36627" w:rsidRPr="00980D80" w:rsidTr="00B36627">
        <w:tc>
          <w:tcPr>
            <w:tcW w:w="3069" w:type="pct"/>
            <w:noWrap/>
          </w:tcPr>
          <w:p w:rsidR="00B36627" w:rsidRPr="00980D80" w:rsidRDefault="00B36627" w:rsidP="00B36627">
            <w:pPr>
              <w:rPr>
                <w:b w:val="0"/>
                <w:sz w:val="22"/>
              </w:rPr>
            </w:pPr>
            <w:r>
              <w:rPr>
                <w:b w:val="0"/>
                <w:sz w:val="22"/>
              </w:rPr>
              <w:t>Comprehensive Income Brought Forward</w:t>
            </w:r>
          </w:p>
        </w:tc>
        <w:tc>
          <w:tcPr>
            <w:tcW w:w="743" w:type="pct"/>
          </w:tcPr>
          <w:p w:rsidR="00B36627" w:rsidRPr="00980D80" w:rsidRDefault="00BB4C2F" w:rsidP="00B36627">
            <w:pPr>
              <w:pStyle w:val="DecimalAligned"/>
              <w:jc w:val="right"/>
            </w:pPr>
            <w:r>
              <w:t>(</w:t>
            </w:r>
            <w:r w:rsidR="006D318B">
              <w:t>603,741</w:t>
            </w:r>
            <w:r>
              <w:t>)</w:t>
            </w:r>
          </w:p>
        </w:tc>
        <w:tc>
          <w:tcPr>
            <w:tcW w:w="791" w:type="pct"/>
          </w:tcPr>
          <w:p w:rsidR="00B36627" w:rsidRPr="00980D80" w:rsidRDefault="006D318B" w:rsidP="00B36627">
            <w:pPr>
              <w:pStyle w:val="DecimalAligned"/>
              <w:jc w:val="right"/>
            </w:pPr>
            <w:r>
              <w:t>(56,112)</w:t>
            </w:r>
          </w:p>
        </w:tc>
        <w:tc>
          <w:tcPr>
            <w:tcW w:w="397" w:type="pct"/>
          </w:tcPr>
          <w:p w:rsidR="00B36627" w:rsidRPr="00980D80" w:rsidRDefault="00B36627" w:rsidP="00B36627">
            <w:pPr>
              <w:pStyle w:val="DecimalAligned"/>
              <w:jc w:val="center"/>
            </w:pPr>
          </w:p>
        </w:tc>
      </w:tr>
      <w:tr w:rsidR="00B36627" w:rsidRPr="00A71723" w:rsidTr="00B36627">
        <w:trPr>
          <w:cnfStyle w:val="010000000000" w:firstRow="0" w:lastRow="1" w:firstColumn="0" w:lastColumn="0" w:oddVBand="0" w:evenVBand="0" w:oddHBand="0" w:evenHBand="0" w:firstRowFirstColumn="0" w:firstRowLastColumn="0" w:lastRowFirstColumn="0" w:lastRowLastColumn="0"/>
        </w:trPr>
        <w:tc>
          <w:tcPr>
            <w:tcW w:w="3069" w:type="pct"/>
            <w:noWrap/>
          </w:tcPr>
          <w:p w:rsidR="00B36627" w:rsidRPr="00A71723" w:rsidRDefault="00B36627" w:rsidP="00B36627">
            <w:pPr>
              <w:rPr>
                <w:sz w:val="22"/>
              </w:rPr>
            </w:pPr>
            <w:r w:rsidRPr="00A71723">
              <w:rPr>
                <w:sz w:val="22"/>
              </w:rPr>
              <w:t>Comprehensive Income Carried Forward</w:t>
            </w:r>
          </w:p>
        </w:tc>
        <w:tc>
          <w:tcPr>
            <w:tcW w:w="743" w:type="pct"/>
          </w:tcPr>
          <w:p w:rsidR="00B36627" w:rsidRPr="00A71723" w:rsidRDefault="006D318B" w:rsidP="00B36627">
            <w:pPr>
              <w:pStyle w:val="DecimalAligned"/>
              <w:jc w:val="right"/>
              <w:rPr>
                <w:b/>
              </w:rPr>
            </w:pPr>
            <w:r>
              <w:rPr>
                <w:b/>
              </w:rPr>
              <w:t>54,328</w:t>
            </w:r>
          </w:p>
        </w:tc>
        <w:tc>
          <w:tcPr>
            <w:tcW w:w="791" w:type="pct"/>
          </w:tcPr>
          <w:p w:rsidR="00B36627" w:rsidRPr="00A71723" w:rsidRDefault="006D318B" w:rsidP="00B36627">
            <w:pPr>
              <w:pStyle w:val="DecimalAligned"/>
              <w:jc w:val="right"/>
              <w:rPr>
                <w:b/>
              </w:rPr>
            </w:pPr>
            <w:r>
              <w:rPr>
                <w:b/>
              </w:rPr>
              <w:t>(603,741)</w:t>
            </w:r>
          </w:p>
        </w:tc>
        <w:tc>
          <w:tcPr>
            <w:tcW w:w="397" w:type="pct"/>
          </w:tcPr>
          <w:p w:rsidR="00B36627" w:rsidRPr="00A71723" w:rsidRDefault="00B36627" w:rsidP="00B36627">
            <w:pPr>
              <w:pStyle w:val="DecimalAligned"/>
              <w:jc w:val="center"/>
              <w:rPr>
                <w:b/>
              </w:rPr>
            </w:pPr>
          </w:p>
        </w:tc>
      </w:tr>
    </w:tbl>
    <w:p w:rsidR="00BB4C2F" w:rsidRDefault="00BB4C2F" w:rsidP="00C10D45">
      <w:pPr>
        <w:pStyle w:val="Heading2"/>
        <w:rPr>
          <w:color w:val="005386"/>
        </w:rPr>
      </w:pPr>
    </w:p>
    <w:p w:rsidR="00EC1D88" w:rsidRDefault="00EC1D88" w:rsidP="00EC1D88">
      <w:pPr>
        <w:pStyle w:val="Heading2"/>
        <w:rPr>
          <w:color w:val="005386"/>
        </w:rPr>
      </w:pPr>
      <w:r>
        <w:rPr>
          <w:color w:val="005386"/>
        </w:rPr>
        <w:t>Group Statement of Changes in Net Equity</w:t>
      </w:r>
    </w:p>
    <w:p w:rsidR="00EC1D88" w:rsidRDefault="00EC1D88" w:rsidP="00EC1D88">
      <w:pPr>
        <w:keepNext/>
        <w:spacing w:after="240" w:line="240" w:lineRule="auto"/>
        <w:outlineLvl w:val="1"/>
        <w:rPr>
          <w:rFonts w:eastAsiaTheme="majorEastAsia" w:cstheme="majorBidi"/>
          <w:b w:val="0"/>
          <w:color w:val="005386"/>
          <w:sz w:val="24"/>
          <w:szCs w:val="24"/>
        </w:rPr>
      </w:pPr>
      <w:r>
        <w:rPr>
          <w:rFonts w:eastAsiaTheme="majorEastAsia" w:cstheme="majorBidi"/>
          <w:b w:val="0"/>
          <w:color w:val="005386"/>
          <w:sz w:val="24"/>
          <w:szCs w:val="24"/>
        </w:rPr>
        <w:t>For the year ending</w:t>
      </w:r>
      <w:r w:rsidRPr="000E374C">
        <w:rPr>
          <w:rFonts w:eastAsiaTheme="majorEastAsia" w:cstheme="majorBidi"/>
          <w:b w:val="0"/>
          <w:color w:val="005386"/>
          <w:sz w:val="24"/>
          <w:szCs w:val="24"/>
        </w:rPr>
        <w:t xml:space="preserve"> 31 March</w:t>
      </w:r>
      <w:r>
        <w:rPr>
          <w:rFonts w:eastAsiaTheme="majorEastAsia" w:cstheme="majorBidi"/>
          <w:b w:val="0"/>
          <w:color w:val="005386"/>
          <w:sz w:val="24"/>
          <w:szCs w:val="24"/>
        </w:rPr>
        <w:t xml:space="preserve"> 2019</w:t>
      </w:r>
    </w:p>
    <w:tbl>
      <w:tblPr>
        <w:tblStyle w:val="MediumShading2-Accent5"/>
        <w:tblW w:w="5000" w:type="pct"/>
        <w:tblLook w:val="0660" w:firstRow="1" w:lastRow="1" w:firstColumn="0" w:lastColumn="0" w:noHBand="1" w:noVBand="1"/>
      </w:tblPr>
      <w:tblGrid>
        <w:gridCol w:w="5504"/>
        <w:gridCol w:w="1550"/>
        <w:gridCol w:w="1550"/>
        <w:gridCol w:w="1550"/>
      </w:tblGrid>
      <w:tr w:rsidR="00EC1D88" w:rsidTr="00246852">
        <w:trPr>
          <w:cnfStyle w:val="100000000000" w:firstRow="1" w:lastRow="0" w:firstColumn="0" w:lastColumn="0" w:oddVBand="0" w:evenVBand="0" w:oddHBand="0" w:evenHBand="0" w:firstRowFirstColumn="0" w:firstRowLastColumn="0" w:lastRowFirstColumn="0" w:lastRowLastColumn="0"/>
        </w:trPr>
        <w:tc>
          <w:tcPr>
            <w:tcW w:w="2710" w:type="pct"/>
            <w:shd w:val="clear" w:color="auto" w:fill="0070C0"/>
            <w:noWrap/>
          </w:tcPr>
          <w:p w:rsidR="00EC1D88" w:rsidRPr="000349B6" w:rsidRDefault="00EC1D88" w:rsidP="008A4F4A">
            <w:pPr>
              <w:rPr>
                <w:b/>
                <w:color w:val="FFFFFF" w:themeColor="background1"/>
              </w:rPr>
            </w:pPr>
          </w:p>
        </w:tc>
        <w:tc>
          <w:tcPr>
            <w:tcW w:w="763" w:type="pct"/>
            <w:shd w:val="clear" w:color="auto" w:fill="0070C0"/>
          </w:tcPr>
          <w:p w:rsidR="00EC1D88" w:rsidRPr="000349B6" w:rsidRDefault="00EC1D88" w:rsidP="008A4F4A">
            <w:pPr>
              <w:jc w:val="right"/>
              <w:rPr>
                <w:b/>
                <w:color w:val="FFFFFF" w:themeColor="background1"/>
              </w:rPr>
            </w:pPr>
            <w:r>
              <w:rPr>
                <w:b/>
                <w:color w:val="FFFFFF" w:themeColor="background1"/>
              </w:rPr>
              <w:t>Share Capital</w:t>
            </w:r>
          </w:p>
        </w:tc>
        <w:tc>
          <w:tcPr>
            <w:tcW w:w="763" w:type="pct"/>
            <w:shd w:val="clear" w:color="auto" w:fill="0070C0"/>
          </w:tcPr>
          <w:p w:rsidR="00EC1D88" w:rsidRPr="000349B6" w:rsidRDefault="00EC1D88" w:rsidP="008A4F4A">
            <w:pPr>
              <w:jc w:val="right"/>
              <w:rPr>
                <w:b/>
                <w:color w:val="FFFFFF" w:themeColor="background1"/>
              </w:rPr>
            </w:pPr>
            <w:r>
              <w:rPr>
                <w:b/>
                <w:color w:val="FFFFFF" w:themeColor="background1"/>
              </w:rPr>
              <w:t>Retained Earnings</w:t>
            </w:r>
          </w:p>
        </w:tc>
        <w:tc>
          <w:tcPr>
            <w:tcW w:w="763" w:type="pct"/>
            <w:shd w:val="clear" w:color="auto" w:fill="0070C0"/>
          </w:tcPr>
          <w:p w:rsidR="00EC1D88" w:rsidRPr="000349B6" w:rsidRDefault="00EC1D88" w:rsidP="00EC1D88">
            <w:pPr>
              <w:jc w:val="center"/>
              <w:rPr>
                <w:b/>
                <w:color w:val="FFFFFF" w:themeColor="background1"/>
              </w:rPr>
            </w:pPr>
            <w:r>
              <w:rPr>
                <w:b/>
                <w:color w:val="FFFFFF" w:themeColor="background1"/>
              </w:rPr>
              <w:t>Total Equity</w:t>
            </w:r>
          </w:p>
        </w:tc>
      </w:tr>
      <w:tr w:rsidR="00EC1D88" w:rsidRPr="00980D80" w:rsidTr="00246852">
        <w:tc>
          <w:tcPr>
            <w:tcW w:w="2710" w:type="pct"/>
            <w:tcBorders>
              <w:top w:val="single" w:sz="18" w:space="0" w:color="auto"/>
              <w:bottom w:val="nil"/>
            </w:tcBorders>
            <w:noWrap/>
          </w:tcPr>
          <w:p w:rsidR="00EC1D88" w:rsidRPr="00980D80" w:rsidRDefault="00EC1D88" w:rsidP="008A4F4A">
            <w:pPr>
              <w:rPr>
                <w:sz w:val="22"/>
              </w:rPr>
            </w:pPr>
          </w:p>
        </w:tc>
        <w:tc>
          <w:tcPr>
            <w:tcW w:w="763" w:type="pct"/>
            <w:tcBorders>
              <w:top w:val="single" w:sz="18" w:space="0" w:color="auto"/>
              <w:bottom w:val="nil"/>
            </w:tcBorders>
          </w:tcPr>
          <w:p w:rsidR="00EC1D88" w:rsidRPr="00980D80" w:rsidRDefault="00EC1D88" w:rsidP="008A4F4A">
            <w:pPr>
              <w:jc w:val="right"/>
              <w:rPr>
                <w:rStyle w:val="SubtleEmphasis"/>
                <w:sz w:val="22"/>
              </w:rPr>
            </w:pPr>
            <w:r w:rsidRPr="00980D80">
              <w:rPr>
                <w:rStyle w:val="SubtleEmphasis"/>
                <w:sz w:val="22"/>
              </w:rPr>
              <w:t>£</w:t>
            </w:r>
          </w:p>
        </w:tc>
        <w:tc>
          <w:tcPr>
            <w:tcW w:w="763" w:type="pct"/>
            <w:tcBorders>
              <w:top w:val="single" w:sz="18" w:space="0" w:color="auto"/>
              <w:bottom w:val="nil"/>
            </w:tcBorders>
          </w:tcPr>
          <w:p w:rsidR="00EC1D88" w:rsidRPr="00980D80" w:rsidRDefault="00EC1D88" w:rsidP="008A4F4A">
            <w:pPr>
              <w:jc w:val="right"/>
              <w:rPr>
                <w:i/>
                <w:sz w:val="22"/>
              </w:rPr>
            </w:pPr>
            <w:r w:rsidRPr="00980D80">
              <w:rPr>
                <w:i/>
                <w:sz w:val="22"/>
              </w:rPr>
              <w:t>£</w:t>
            </w:r>
          </w:p>
        </w:tc>
        <w:tc>
          <w:tcPr>
            <w:tcW w:w="763" w:type="pct"/>
            <w:tcBorders>
              <w:top w:val="single" w:sz="18" w:space="0" w:color="auto"/>
              <w:bottom w:val="nil"/>
            </w:tcBorders>
          </w:tcPr>
          <w:p w:rsidR="00EC1D88" w:rsidRPr="00EC1D88" w:rsidRDefault="00EC1D88" w:rsidP="00EC1D88">
            <w:pPr>
              <w:jc w:val="right"/>
              <w:rPr>
                <w:i/>
                <w:sz w:val="22"/>
              </w:rPr>
            </w:pPr>
            <w:r w:rsidRPr="00EC1D88">
              <w:rPr>
                <w:i/>
                <w:sz w:val="22"/>
              </w:rPr>
              <w:t>£</w:t>
            </w:r>
          </w:p>
        </w:tc>
      </w:tr>
      <w:tr w:rsidR="00EC1D88" w:rsidRPr="00EC1D88" w:rsidTr="00246852">
        <w:tc>
          <w:tcPr>
            <w:tcW w:w="2710" w:type="pct"/>
            <w:tcBorders>
              <w:top w:val="nil"/>
              <w:bottom w:val="nil"/>
            </w:tcBorders>
            <w:noWrap/>
          </w:tcPr>
          <w:p w:rsidR="00EC1D88" w:rsidRPr="00EC1D88" w:rsidRDefault="00EC1D88" w:rsidP="008A4F4A">
            <w:pPr>
              <w:rPr>
                <w:b w:val="0"/>
                <w:sz w:val="22"/>
              </w:rPr>
            </w:pPr>
            <w:r w:rsidRPr="00EC1D88">
              <w:rPr>
                <w:b w:val="0"/>
                <w:sz w:val="22"/>
              </w:rPr>
              <w:t>Balance</w:t>
            </w:r>
            <w:r>
              <w:rPr>
                <w:b w:val="0"/>
                <w:sz w:val="22"/>
              </w:rPr>
              <w:t xml:space="preserve"> at 01 April 2018</w:t>
            </w:r>
          </w:p>
        </w:tc>
        <w:tc>
          <w:tcPr>
            <w:tcW w:w="763" w:type="pct"/>
            <w:tcBorders>
              <w:top w:val="nil"/>
              <w:bottom w:val="nil"/>
            </w:tcBorders>
          </w:tcPr>
          <w:p w:rsidR="00EC1D88" w:rsidRPr="00EC1D88" w:rsidRDefault="00EC1D88" w:rsidP="008A4F4A">
            <w:pPr>
              <w:pStyle w:val="DecimalAligned"/>
              <w:jc w:val="right"/>
            </w:pPr>
            <w:r>
              <w:t>100</w:t>
            </w:r>
          </w:p>
        </w:tc>
        <w:tc>
          <w:tcPr>
            <w:tcW w:w="763" w:type="pct"/>
            <w:tcBorders>
              <w:top w:val="nil"/>
              <w:bottom w:val="nil"/>
            </w:tcBorders>
          </w:tcPr>
          <w:p w:rsidR="00EC1D88" w:rsidRPr="00EC1D88" w:rsidRDefault="00EC1D88" w:rsidP="008A4F4A">
            <w:pPr>
              <w:pStyle w:val="DecimalAligned"/>
              <w:jc w:val="right"/>
            </w:pPr>
            <w:r>
              <w:t>(603,841)</w:t>
            </w:r>
          </w:p>
        </w:tc>
        <w:tc>
          <w:tcPr>
            <w:tcW w:w="763" w:type="pct"/>
            <w:tcBorders>
              <w:top w:val="nil"/>
              <w:bottom w:val="nil"/>
            </w:tcBorders>
          </w:tcPr>
          <w:p w:rsidR="00EC1D88" w:rsidRPr="00EC1D88" w:rsidRDefault="00EC1D88" w:rsidP="00246852">
            <w:pPr>
              <w:pStyle w:val="DecimalAligned"/>
              <w:jc w:val="right"/>
            </w:pPr>
            <w:r>
              <w:t>(603,741)</w:t>
            </w:r>
          </w:p>
        </w:tc>
      </w:tr>
      <w:tr w:rsidR="00EC1D88" w:rsidRPr="00980D80" w:rsidTr="00EC1D88">
        <w:tc>
          <w:tcPr>
            <w:tcW w:w="2710" w:type="pct"/>
            <w:noWrap/>
          </w:tcPr>
          <w:p w:rsidR="00EC1D88" w:rsidRPr="00980D80" w:rsidRDefault="00EC1D88" w:rsidP="008A4F4A">
            <w:pPr>
              <w:rPr>
                <w:b w:val="0"/>
                <w:sz w:val="22"/>
              </w:rPr>
            </w:pPr>
            <w:r>
              <w:rPr>
                <w:b w:val="0"/>
                <w:sz w:val="22"/>
              </w:rPr>
              <w:t>Total Comprehensive Profit/(Loss) for the year</w:t>
            </w:r>
          </w:p>
        </w:tc>
        <w:tc>
          <w:tcPr>
            <w:tcW w:w="763" w:type="pct"/>
          </w:tcPr>
          <w:p w:rsidR="00EC1D88" w:rsidRPr="00980D80" w:rsidRDefault="008F3D38" w:rsidP="008A4F4A">
            <w:pPr>
              <w:pStyle w:val="DecimalAligned"/>
              <w:jc w:val="right"/>
            </w:pPr>
            <w:r>
              <w:t>0</w:t>
            </w:r>
          </w:p>
        </w:tc>
        <w:tc>
          <w:tcPr>
            <w:tcW w:w="763" w:type="pct"/>
          </w:tcPr>
          <w:p w:rsidR="00EC1D88" w:rsidRPr="00980D80" w:rsidRDefault="00EC1D88" w:rsidP="008A4F4A">
            <w:pPr>
              <w:pStyle w:val="DecimalAligned"/>
              <w:jc w:val="right"/>
            </w:pPr>
            <w:r>
              <w:t>658,069</w:t>
            </w:r>
          </w:p>
        </w:tc>
        <w:tc>
          <w:tcPr>
            <w:tcW w:w="763" w:type="pct"/>
          </w:tcPr>
          <w:p w:rsidR="00EC1D88" w:rsidRPr="00980D80" w:rsidRDefault="00EC1D88" w:rsidP="00246852">
            <w:pPr>
              <w:pStyle w:val="DecimalAligned"/>
              <w:jc w:val="right"/>
            </w:pPr>
            <w:r>
              <w:t>658,069</w:t>
            </w:r>
          </w:p>
        </w:tc>
      </w:tr>
      <w:tr w:rsidR="00EC1D88" w:rsidRPr="00980D80" w:rsidTr="00EC1D88">
        <w:tc>
          <w:tcPr>
            <w:tcW w:w="2710" w:type="pct"/>
            <w:noWrap/>
          </w:tcPr>
          <w:p w:rsidR="00EC1D88" w:rsidRDefault="00EC1D88" w:rsidP="008A4F4A">
            <w:pPr>
              <w:rPr>
                <w:b w:val="0"/>
                <w:sz w:val="22"/>
              </w:rPr>
            </w:pPr>
            <w:r>
              <w:rPr>
                <w:b w:val="0"/>
                <w:sz w:val="22"/>
              </w:rPr>
              <w:t>Issue of Share Capital</w:t>
            </w:r>
          </w:p>
        </w:tc>
        <w:tc>
          <w:tcPr>
            <w:tcW w:w="763" w:type="pct"/>
          </w:tcPr>
          <w:p w:rsidR="00EC1D88" w:rsidRDefault="008F3D38" w:rsidP="008A4F4A">
            <w:pPr>
              <w:pStyle w:val="DecimalAligned"/>
              <w:jc w:val="right"/>
            </w:pPr>
            <w:r>
              <w:t>0</w:t>
            </w:r>
          </w:p>
        </w:tc>
        <w:tc>
          <w:tcPr>
            <w:tcW w:w="763" w:type="pct"/>
          </w:tcPr>
          <w:p w:rsidR="00EC1D88" w:rsidRDefault="008F3D38" w:rsidP="008A4F4A">
            <w:pPr>
              <w:pStyle w:val="DecimalAligned"/>
              <w:jc w:val="right"/>
            </w:pPr>
            <w:r>
              <w:t>0</w:t>
            </w:r>
          </w:p>
        </w:tc>
        <w:tc>
          <w:tcPr>
            <w:tcW w:w="763" w:type="pct"/>
          </w:tcPr>
          <w:p w:rsidR="00EC1D88" w:rsidRDefault="008F3D38" w:rsidP="00246852">
            <w:pPr>
              <w:pStyle w:val="DecimalAligned"/>
              <w:jc w:val="right"/>
            </w:pPr>
            <w:r>
              <w:t>0</w:t>
            </w:r>
          </w:p>
        </w:tc>
      </w:tr>
      <w:tr w:rsidR="00EC1D88" w:rsidRPr="00980D80" w:rsidTr="00EC1D88">
        <w:trPr>
          <w:cnfStyle w:val="010000000000" w:firstRow="0" w:lastRow="1" w:firstColumn="0" w:lastColumn="0" w:oddVBand="0" w:evenVBand="0" w:oddHBand="0" w:evenHBand="0" w:firstRowFirstColumn="0" w:firstRowLastColumn="0" w:lastRowFirstColumn="0" w:lastRowLastColumn="0"/>
        </w:trPr>
        <w:tc>
          <w:tcPr>
            <w:tcW w:w="2710" w:type="pct"/>
            <w:tcBorders>
              <w:top w:val="single" w:sz="12" w:space="0" w:color="auto"/>
              <w:bottom w:val="nil"/>
            </w:tcBorders>
            <w:noWrap/>
          </w:tcPr>
          <w:p w:rsidR="00EC1D88" w:rsidRPr="00980D80" w:rsidRDefault="00EC1D88" w:rsidP="008A4F4A">
            <w:pPr>
              <w:rPr>
                <w:sz w:val="22"/>
              </w:rPr>
            </w:pPr>
            <w:r>
              <w:rPr>
                <w:sz w:val="22"/>
              </w:rPr>
              <w:t>Balance at 31 March 2019</w:t>
            </w:r>
          </w:p>
        </w:tc>
        <w:tc>
          <w:tcPr>
            <w:tcW w:w="763" w:type="pct"/>
            <w:tcBorders>
              <w:top w:val="single" w:sz="12" w:space="0" w:color="auto"/>
              <w:bottom w:val="nil"/>
            </w:tcBorders>
          </w:tcPr>
          <w:p w:rsidR="00EC1D88" w:rsidRPr="00980D80" w:rsidRDefault="00EC1D88" w:rsidP="008A4F4A">
            <w:pPr>
              <w:pStyle w:val="DecimalAligned"/>
              <w:jc w:val="right"/>
              <w:rPr>
                <w:b/>
              </w:rPr>
            </w:pPr>
            <w:r>
              <w:rPr>
                <w:b/>
              </w:rPr>
              <w:t>100</w:t>
            </w:r>
          </w:p>
        </w:tc>
        <w:tc>
          <w:tcPr>
            <w:tcW w:w="763" w:type="pct"/>
            <w:tcBorders>
              <w:top w:val="single" w:sz="12" w:space="0" w:color="auto"/>
              <w:bottom w:val="nil"/>
            </w:tcBorders>
          </w:tcPr>
          <w:p w:rsidR="00EC1D88" w:rsidRPr="00980D80" w:rsidRDefault="00EC1D88" w:rsidP="008A4F4A">
            <w:pPr>
              <w:pStyle w:val="DecimalAligned"/>
              <w:jc w:val="right"/>
              <w:rPr>
                <w:b/>
              </w:rPr>
            </w:pPr>
            <w:r>
              <w:rPr>
                <w:b/>
              </w:rPr>
              <w:t>54,228</w:t>
            </w:r>
          </w:p>
        </w:tc>
        <w:tc>
          <w:tcPr>
            <w:tcW w:w="763" w:type="pct"/>
            <w:tcBorders>
              <w:top w:val="single" w:sz="12" w:space="0" w:color="auto"/>
              <w:bottom w:val="nil"/>
            </w:tcBorders>
          </w:tcPr>
          <w:p w:rsidR="00EC1D88" w:rsidRPr="00980D80" w:rsidRDefault="00EC1D88" w:rsidP="00246852">
            <w:pPr>
              <w:pStyle w:val="DecimalAligned"/>
              <w:jc w:val="right"/>
              <w:rPr>
                <w:b/>
              </w:rPr>
            </w:pPr>
            <w:r>
              <w:rPr>
                <w:b/>
              </w:rPr>
              <w:t>54,328</w:t>
            </w:r>
          </w:p>
        </w:tc>
      </w:tr>
    </w:tbl>
    <w:p w:rsidR="00BB4C2F" w:rsidRDefault="00BB4C2F" w:rsidP="00BB4C2F"/>
    <w:p w:rsidR="00C10D45" w:rsidRDefault="00AC2171" w:rsidP="00C10D45">
      <w:pPr>
        <w:pStyle w:val="Heading2"/>
        <w:rPr>
          <w:color w:val="005386"/>
        </w:rPr>
      </w:pPr>
      <w:r>
        <w:rPr>
          <w:color w:val="005386"/>
        </w:rPr>
        <w:lastRenderedPageBreak/>
        <w:t xml:space="preserve">Group </w:t>
      </w:r>
      <w:r w:rsidR="00C10D45">
        <w:rPr>
          <w:color w:val="005386"/>
        </w:rPr>
        <w:t>Statement of Cash Flows</w:t>
      </w:r>
    </w:p>
    <w:p w:rsidR="00C10D45" w:rsidRPr="00B36627" w:rsidRDefault="00AC2171" w:rsidP="00B36627">
      <w:pPr>
        <w:keepNext/>
        <w:spacing w:after="240" w:line="240" w:lineRule="auto"/>
        <w:outlineLvl w:val="1"/>
        <w:rPr>
          <w:rFonts w:eastAsiaTheme="majorEastAsia" w:cstheme="majorBidi"/>
          <w:b w:val="0"/>
          <w:color w:val="005386"/>
          <w:sz w:val="24"/>
          <w:szCs w:val="24"/>
        </w:rPr>
      </w:pPr>
      <w:r>
        <w:rPr>
          <w:rFonts w:eastAsiaTheme="majorEastAsia" w:cstheme="majorBidi"/>
          <w:b w:val="0"/>
          <w:color w:val="005386"/>
          <w:sz w:val="24"/>
          <w:szCs w:val="24"/>
        </w:rPr>
        <w:t>For the year ending</w:t>
      </w:r>
      <w:r w:rsidRPr="000E374C">
        <w:rPr>
          <w:rFonts w:eastAsiaTheme="majorEastAsia" w:cstheme="majorBidi"/>
          <w:b w:val="0"/>
          <w:color w:val="005386"/>
          <w:sz w:val="24"/>
          <w:szCs w:val="24"/>
        </w:rPr>
        <w:t xml:space="preserve"> 31 March</w:t>
      </w:r>
    </w:p>
    <w:tbl>
      <w:tblPr>
        <w:tblStyle w:val="MediumShading2-Accent5"/>
        <w:tblW w:w="5000" w:type="pct"/>
        <w:tblLook w:val="0660" w:firstRow="1" w:lastRow="1" w:firstColumn="0" w:lastColumn="0" w:noHBand="1" w:noVBand="1"/>
      </w:tblPr>
      <w:tblGrid>
        <w:gridCol w:w="6273"/>
        <w:gridCol w:w="1489"/>
        <w:gridCol w:w="1586"/>
        <w:gridCol w:w="806"/>
      </w:tblGrid>
      <w:tr w:rsidR="00B36627" w:rsidTr="00B36627">
        <w:trPr>
          <w:cnfStyle w:val="100000000000" w:firstRow="1" w:lastRow="0" w:firstColumn="0" w:lastColumn="0" w:oddVBand="0" w:evenVBand="0" w:oddHBand="0" w:evenHBand="0" w:firstRowFirstColumn="0" w:firstRowLastColumn="0" w:lastRowFirstColumn="0" w:lastRowLastColumn="0"/>
        </w:trPr>
        <w:tc>
          <w:tcPr>
            <w:tcW w:w="3089" w:type="pct"/>
            <w:shd w:val="clear" w:color="auto" w:fill="0070C0"/>
            <w:noWrap/>
          </w:tcPr>
          <w:p w:rsidR="00B36627" w:rsidRPr="000349B6" w:rsidRDefault="00B36627" w:rsidP="00B36627">
            <w:pPr>
              <w:rPr>
                <w:b/>
                <w:color w:val="FFFFFF" w:themeColor="background1"/>
              </w:rPr>
            </w:pPr>
          </w:p>
        </w:tc>
        <w:tc>
          <w:tcPr>
            <w:tcW w:w="733" w:type="pct"/>
            <w:shd w:val="clear" w:color="auto" w:fill="0070C0"/>
          </w:tcPr>
          <w:p w:rsidR="00B36627" w:rsidRPr="000349B6" w:rsidRDefault="00B36627" w:rsidP="00B36627">
            <w:pPr>
              <w:jc w:val="right"/>
              <w:rPr>
                <w:b/>
                <w:color w:val="FFFFFF" w:themeColor="background1"/>
              </w:rPr>
            </w:pPr>
            <w:r>
              <w:rPr>
                <w:b/>
                <w:color w:val="FFFFFF" w:themeColor="background1"/>
              </w:rPr>
              <w:t>2018/19</w:t>
            </w:r>
          </w:p>
        </w:tc>
        <w:tc>
          <w:tcPr>
            <w:tcW w:w="781" w:type="pct"/>
            <w:shd w:val="clear" w:color="auto" w:fill="0070C0"/>
          </w:tcPr>
          <w:p w:rsidR="00B36627" w:rsidRPr="000349B6" w:rsidRDefault="00B36627" w:rsidP="00B36627">
            <w:pPr>
              <w:jc w:val="right"/>
              <w:rPr>
                <w:b/>
                <w:color w:val="FFFFFF" w:themeColor="background1"/>
              </w:rPr>
            </w:pPr>
            <w:r>
              <w:rPr>
                <w:b/>
                <w:color w:val="FFFFFF" w:themeColor="background1"/>
              </w:rPr>
              <w:t>2017/18</w:t>
            </w:r>
          </w:p>
        </w:tc>
        <w:tc>
          <w:tcPr>
            <w:tcW w:w="397" w:type="pct"/>
            <w:shd w:val="clear" w:color="auto" w:fill="0070C0"/>
          </w:tcPr>
          <w:p w:rsidR="00B36627" w:rsidRPr="000349B6" w:rsidRDefault="00B36627" w:rsidP="00B36627">
            <w:pPr>
              <w:jc w:val="center"/>
              <w:rPr>
                <w:b/>
                <w:color w:val="FFFFFF" w:themeColor="background1"/>
              </w:rPr>
            </w:pPr>
            <w:r>
              <w:rPr>
                <w:b/>
                <w:color w:val="FFFFFF" w:themeColor="background1"/>
              </w:rPr>
              <w:t>Note</w:t>
            </w:r>
          </w:p>
        </w:tc>
      </w:tr>
      <w:tr w:rsidR="00B36627" w:rsidRPr="00980D80" w:rsidTr="00B36627">
        <w:tc>
          <w:tcPr>
            <w:tcW w:w="3089" w:type="pct"/>
            <w:noWrap/>
          </w:tcPr>
          <w:p w:rsidR="00B36627" w:rsidRPr="00980D80" w:rsidRDefault="00B36627" w:rsidP="00B36627">
            <w:pPr>
              <w:rPr>
                <w:sz w:val="22"/>
              </w:rPr>
            </w:pPr>
          </w:p>
        </w:tc>
        <w:tc>
          <w:tcPr>
            <w:tcW w:w="733" w:type="pct"/>
          </w:tcPr>
          <w:p w:rsidR="00B36627" w:rsidRPr="00980D80" w:rsidRDefault="00B36627" w:rsidP="00B36627">
            <w:pPr>
              <w:jc w:val="right"/>
              <w:rPr>
                <w:rStyle w:val="SubtleEmphasis"/>
                <w:sz w:val="22"/>
              </w:rPr>
            </w:pPr>
            <w:r w:rsidRPr="00980D80">
              <w:rPr>
                <w:rStyle w:val="SubtleEmphasis"/>
                <w:sz w:val="22"/>
              </w:rPr>
              <w:t>£</w:t>
            </w:r>
          </w:p>
        </w:tc>
        <w:tc>
          <w:tcPr>
            <w:tcW w:w="781" w:type="pct"/>
          </w:tcPr>
          <w:p w:rsidR="00B36627" w:rsidRPr="00980D80" w:rsidRDefault="00B36627" w:rsidP="00B36627">
            <w:pPr>
              <w:jc w:val="right"/>
              <w:rPr>
                <w:i/>
                <w:sz w:val="22"/>
              </w:rPr>
            </w:pPr>
            <w:r w:rsidRPr="00980D80">
              <w:rPr>
                <w:i/>
                <w:sz w:val="22"/>
              </w:rPr>
              <w:t>£</w:t>
            </w:r>
          </w:p>
        </w:tc>
        <w:tc>
          <w:tcPr>
            <w:tcW w:w="397" w:type="pct"/>
          </w:tcPr>
          <w:p w:rsidR="00B36627" w:rsidRPr="00980D80" w:rsidRDefault="00B36627" w:rsidP="00B36627">
            <w:pPr>
              <w:jc w:val="center"/>
              <w:rPr>
                <w:sz w:val="22"/>
              </w:rPr>
            </w:pPr>
          </w:p>
        </w:tc>
      </w:tr>
      <w:tr w:rsidR="00B36627" w:rsidRPr="00980D80" w:rsidTr="00B36627">
        <w:tc>
          <w:tcPr>
            <w:tcW w:w="3089" w:type="pct"/>
            <w:noWrap/>
          </w:tcPr>
          <w:p w:rsidR="00B36627" w:rsidRPr="00A71723" w:rsidRDefault="009544B2" w:rsidP="00B36627">
            <w:pPr>
              <w:rPr>
                <w:sz w:val="22"/>
              </w:rPr>
            </w:pPr>
            <w:r>
              <w:rPr>
                <w:sz w:val="22"/>
              </w:rPr>
              <w:t>Operating Activities</w:t>
            </w:r>
          </w:p>
        </w:tc>
        <w:tc>
          <w:tcPr>
            <w:tcW w:w="733" w:type="pct"/>
          </w:tcPr>
          <w:p w:rsidR="00B36627" w:rsidRPr="00980D80" w:rsidRDefault="00B36627" w:rsidP="00B36627">
            <w:pPr>
              <w:pStyle w:val="DecimalAligned"/>
              <w:jc w:val="center"/>
            </w:pPr>
          </w:p>
        </w:tc>
        <w:tc>
          <w:tcPr>
            <w:tcW w:w="781" w:type="pct"/>
          </w:tcPr>
          <w:p w:rsidR="00B36627" w:rsidRPr="00980D80" w:rsidRDefault="00B36627" w:rsidP="00B36627">
            <w:pPr>
              <w:pStyle w:val="DecimalAligned"/>
              <w:jc w:val="right"/>
            </w:pPr>
          </w:p>
        </w:tc>
        <w:tc>
          <w:tcPr>
            <w:tcW w:w="397" w:type="pct"/>
          </w:tcPr>
          <w:p w:rsidR="00B36627" w:rsidRPr="00980D80" w:rsidRDefault="00B36627" w:rsidP="00B36627">
            <w:pPr>
              <w:pStyle w:val="DecimalAligned"/>
            </w:pPr>
          </w:p>
        </w:tc>
      </w:tr>
      <w:tr w:rsidR="00B36627" w:rsidRPr="00980D80" w:rsidTr="00B36627">
        <w:tc>
          <w:tcPr>
            <w:tcW w:w="3089" w:type="pct"/>
            <w:noWrap/>
          </w:tcPr>
          <w:p w:rsidR="00B36627" w:rsidRPr="00980D80" w:rsidRDefault="009544B2" w:rsidP="00B36627">
            <w:pPr>
              <w:rPr>
                <w:b w:val="0"/>
                <w:sz w:val="22"/>
              </w:rPr>
            </w:pPr>
            <w:r>
              <w:rPr>
                <w:b w:val="0"/>
                <w:sz w:val="22"/>
              </w:rPr>
              <w:t>Loss Before Tax</w:t>
            </w:r>
          </w:p>
        </w:tc>
        <w:tc>
          <w:tcPr>
            <w:tcW w:w="733" w:type="pct"/>
          </w:tcPr>
          <w:p w:rsidR="00B36627" w:rsidRPr="00980D80" w:rsidRDefault="009544B2" w:rsidP="00B36627">
            <w:pPr>
              <w:pStyle w:val="DecimalAligned"/>
              <w:jc w:val="right"/>
            </w:pPr>
            <w:r>
              <w:t>(460,244)</w:t>
            </w:r>
          </w:p>
        </w:tc>
        <w:tc>
          <w:tcPr>
            <w:tcW w:w="781" w:type="pct"/>
          </w:tcPr>
          <w:p w:rsidR="00B36627" w:rsidRPr="00980D80" w:rsidRDefault="009544B2" w:rsidP="00B36627">
            <w:pPr>
              <w:pStyle w:val="DecimalAligned"/>
              <w:jc w:val="right"/>
            </w:pPr>
            <w:r>
              <w:t>(547,629)</w:t>
            </w:r>
          </w:p>
        </w:tc>
        <w:tc>
          <w:tcPr>
            <w:tcW w:w="397" w:type="pct"/>
          </w:tcPr>
          <w:p w:rsidR="00B36627" w:rsidRPr="00980D80" w:rsidRDefault="00B36627" w:rsidP="00B36627">
            <w:pPr>
              <w:pStyle w:val="DecimalAligned"/>
              <w:jc w:val="center"/>
            </w:pPr>
          </w:p>
        </w:tc>
      </w:tr>
      <w:tr w:rsidR="009544B2" w:rsidRPr="009544B2" w:rsidTr="00B36627">
        <w:tc>
          <w:tcPr>
            <w:tcW w:w="3089" w:type="pct"/>
            <w:noWrap/>
          </w:tcPr>
          <w:p w:rsidR="009544B2" w:rsidRPr="009544B2" w:rsidRDefault="009544B2" w:rsidP="00B36627">
            <w:pPr>
              <w:rPr>
                <w:b w:val="0"/>
                <w:i/>
                <w:sz w:val="22"/>
              </w:rPr>
            </w:pPr>
            <w:r w:rsidRPr="009544B2">
              <w:rPr>
                <w:b w:val="0"/>
                <w:i/>
                <w:sz w:val="22"/>
              </w:rPr>
              <w:t>Adjustments for:</w:t>
            </w:r>
          </w:p>
        </w:tc>
        <w:tc>
          <w:tcPr>
            <w:tcW w:w="733" w:type="pct"/>
          </w:tcPr>
          <w:p w:rsidR="009544B2" w:rsidRPr="009544B2" w:rsidRDefault="009544B2" w:rsidP="00B36627">
            <w:pPr>
              <w:pStyle w:val="DecimalAligned"/>
              <w:jc w:val="right"/>
              <w:rPr>
                <w:i/>
              </w:rPr>
            </w:pPr>
          </w:p>
        </w:tc>
        <w:tc>
          <w:tcPr>
            <w:tcW w:w="781" w:type="pct"/>
          </w:tcPr>
          <w:p w:rsidR="009544B2" w:rsidRPr="009544B2" w:rsidRDefault="009544B2" w:rsidP="00B36627">
            <w:pPr>
              <w:pStyle w:val="DecimalAligned"/>
              <w:jc w:val="right"/>
              <w:rPr>
                <w:i/>
              </w:rPr>
            </w:pPr>
          </w:p>
        </w:tc>
        <w:tc>
          <w:tcPr>
            <w:tcW w:w="397" w:type="pct"/>
          </w:tcPr>
          <w:p w:rsidR="009544B2" w:rsidRPr="009544B2" w:rsidRDefault="009544B2" w:rsidP="00B36627">
            <w:pPr>
              <w:pStyle w:val="DecimalAligned"/>
              <w:jc w:val="center"/>
              <w:rPr>
                <w:i/>
              </w:rPr>
            </w:pPr>
          </w:p>
        </w:tc>
      </w:tr>
      <w:tr w:rsidR="00B36627" w:rsidRPr="00980D80" w:rsidTr="00B36627">
        <w:tc>
          <w:tcPr>
            <w:tcW w:w="3089" w:type="pct"/>
            <w:noWrap/>
          </w:tcPr>
          <w:p w:rsidR="00B36627" w:rsidRPr="00980D80" w:rsidRDefault="009544B2" w:rsidP="00B36627">
            <w:pPr>
              <w:rPr>
                <w:b w:val="0"/>
                <w:sz w:val="22"/>
              </w:rPr>
            </w:pPr>
            <w:r>
              <w:rPr>
                <w:b w:val="0"/>
                <w:sz w:val="22"/>
              </w:rPr>
              <w:t>Depreciation</w:t>
            </w:r>
          </w:p>
        </w:tc>
        <w:tc>
          <w:tcPr>
            <w:tcW w:w="733" w:type="pct"/>
          </w:tcPr>
          <w:p w:rsidR="00B36627" w:rsidRPr="00980D80" w:rsidRDefault="009544B2" w:rsidP="00B36627">
            <w:pPr>
              <w:pStyle w:val="DecimalAligned"/>
              <w:jc w:val="right"/>
            </w:pPr>
            <w:r>
              <w:t>7,645</w:t>
            </w:r>
          </w:p>
        </w:tc>
        <w:tc>
          <w:tcPr>
            <w:tcW w:w="781" w:type="pct"/>
          </w:tcPr>
          <w:p w:rsidR="00B36627" w:rsidRPr="00980D80" w:rsidRDefault="00B36627" w:rsidP="00B36627">
            <w:pPr>
              <w:pStyle w:val="DecimalAligned"/>
              <w:jc w:val="right"/>
            </w:pPr>
            <w:r>
              <w:t>0</w:t>
            </w:r>
          </w:p>
        </w:tc>
        <w:tc>
          <w:tcPr>
            <w:tcW w:w="397" w:type="pct"/>
          </w:tcPr>
          <w:p w:rsidR="00B36627" w:rsidRPr="00980D80" w:rsidRDefault="00B36627" w:rsidP="00B36627">
            <w:pPr>
              <w:pStyle w:val="DecimalAligned"/>
              <w:jc w:val="center"/>
            </w:pPr>
          </w:p>
        </w:tc>
      </w:tr>
      <w:tr w:rsidR="009544B2" w:rsidRPr="00980D80" w:rsidTr="00B36627">
        <w:tc>
          <w:tcPr>
            <w:tcW w:w="3089" w:type="pct"/>
            <w:noWrap/>
          </w:tcPr>
          <w:p w:rsidR="009544B2" w:rsidRDefault="00CC4C39" w:rsidP="00B36627">
            <w:pPr>
              <w:rPr>
                <w:b w:val="0"/>
                <w:sz w:val="22"/>
              </w:rPr>
            </w:pPr>
            <w:r>
              <w:rPr>
                <w:b w:val="0"/>
                <w:sz w:val="22"/>
              </w:rPr>
              <w:t>Interest Payable and Similar Charges</w:t>
            </w:r>
          </w:p>
        </w:tc>
        <w:tc>
          <w:tcPr>
            <w:tcW w:w="733" w:type="pct"/>
          </w:tcPr>
          <w:p w:rsidR="009544B2" w:rsidRPr="00980D80" w:rsidRDefault="009544B2" w:rsidP="00B36627">
            <w:pPr>
              <w:pStyle w:val="DecimalAligned"/>
              <w:jc w:val="right"/>
            </w:pPr>
            <w:r>
              <w:t>114,612</w:t>
            </w:r>
          </w:p>
        </w:tc>
        <w:tc>
          <w:tcPr>
            <w:tcW w:w="781" w:type="pct"/>
          </w:tcPr>
          <w:p w:rsidR="009544B2" w:rsidRDefault="009544B2" w:rsidP="00B36627">
            <w:pPr>
              <w:pStyle w:val="DecimalAligned"/>
              <w:jc w:val="right"/>
            </w:pPr>
            <w:r>
              <w:t>565</w:t>
            </w:r>
          </w:p>
        </w:tc>
        <w:tc>
          <w:tcPr>
            <w:tcW w:w="397" w:type="pct"/>
          </w:tcPr>
          <w:p w:rsidR="009544B2" w:rsidRPr="00980D80" w:rsidRDefault="009544B2" w:rsidP="00B36627">
            <w:pPr>
              <w:pStyle w:val="DecimalAligned"/>
              <w:jc w:val="center"/>
            </w:pPr>
          </w:p>
        </w:tc>
      </w:tr>
      <w:tr w:rsidR="009544B2" w:rsidRPr="00980D80" w:rsidTr="00B36627">
        <w:tc>
          <w:tcPr>
            <w:tcW w:w="3089" w:type="pct"/>
            <w:noWrap/>
          </w:tcPr>
          <w:p w:rsidR="009544B2" w:rsidRDefault="009544B2" w:rsidP="00B36627">
            <w:pPr>
              <w:rPr>
                <w:b w:val="0"/>
                <w:sz w:val="22"/>
              </w:rPr>
            </w:pPr>
            <w:r>
              <w:rPr>
                <w:b w:val="0"/>
                <w:sz w:val="22"/>
              </w:rPr>
              <w:t>Impairment Loss</w:t>
            </w:r>
          </w:p>
        </w:tc>
        <w:tc>
          <w:tcPr>
            <w:tcW w:w="733" w:type="pct"/>
          </w:tcPr>
          <w:p w:rsidR="009544B2" w:rsidRPr="00980D80" w:rsidRDefault="00523207" w:rsidP="00B36627">
            <w:pPr>
              <w:pStyle w:val="DecimalAligned"/>
              <w:jc w:val="right"/>
            </w:pPr>
            <w:r>
              <w:t>113,15</w:t>
            </w:r>
            <w:r w:rsidR="009544B2">
              <w:t>8</w:t>
            </w:r>
          </w:p>
        </w:tc>
        <w:tc>
          <w:tcPr>
            <w:tcW w:w="781" w:type="pct"/>
          </w:tcPr>
          <w:p w:rsidR="009544B2" w:rsidRDefault="008F3D38" w:rsidP="00B36627">
            <w:pPr>
              <w:pStyle w:val="DecimalAligned"/>
              <w:jc w:val="right"/>
            </w:pPr>
            <w:r>
              <w:t>0</w:t>
            </w:r>
          </w:p>
        </w:tc>
        <w:tc>
          <w:tcPr>
            <w:tcW w:w="397" w:type="pct"/>
          </w:tcPr>
          <w:p w:rsidR="009544B2" w:rsidRPr="00980D80" w:rsidRDefault="0012428B" w:rsidP="00B36627">
            <w:pPr>
              <w:pStyle w:val="DecimalAligned"/>
              <w:jc w:val="center"/>
            </w:pPr>
            <w:r>
              <w:t>9</w:t>
            </w:r>
          </w:p>
        </w:tc>
      </w:tr>
      <w:tr w:rsidR="009544B2" w:rsidRPr="00980D80" w:rsidTr="00B36627">
        <w:tc>
          <w:tcPr>
            <w:tcW w:w="3089" w:type="pct"/>
            <w:noWrap/>
          </w:tcPr>
          <w:p w:rsidR="009544B2" w:rsidRDefault="009544B2" w:rsidP="00B36627">
            <w:pPr>
              <w:rPr>
                <w:b w:val="0"/>
                <w:sz w:val="22"/>
              </w:rPr>
            </w:pPr>
            <w:r>
              <w:rPr>
                <w:b w:val="0"/>
                <w:sz w:val="22"/>
              </w:rPr>
              <w:t>(Increase)/Decrease in Trade Receivables</w:t>
            </w:r>
          </w:p>
        </w:tc>
        <w:tc>
          <w:tcPr>
            <w:tcW w:w="733" w:type="pct"/>
          </w:tcPr>
          <w:p w:rsidR="009544B2" w:rsidRPr="00980D80" w:rsidRDefault="00523207" w:rsidP="00B36627">
            <w:pPr>
              <w:pStyle w:val="DecimalAligned"/>
              <w:jc w:val="right"/>
            </w:pPr>
            <w:r>
              <w:t>(176,115)</w:t>
            </w:r>
          </w:p>
        </w:tc>
        <w:tc>
          <w:tcPr>
            <w:tcW w:w="781" w:type="pct"/>
          </w:tcPr>
          <w:p w:rsidR="009544B2" w:rsidRDefault="00523207" w:rsidP="00B36627">
            <w:pPr>
              <w:pStyle w:val="DecimalAligned"/>
              <w:jc w:val="right"/>
            </w:pPr>
            <w:r>
              <w:t>(106,515)</w:t>
            </w:r>
          </w:p>
        </w:tc>
        <w:tc>
          <w:tcPr>
            <w:tcW w:w="397" w:type="pct"/>
          </w:tcPr>
          <w:p w:rsidR="009544B2" w:rsidRPr="00980D80" w:rsidRDefault="009544B2" w:rsidP="00B36627">
            <w:pPr>
              <w:pStyle w:val="DecimalAligned"/>
              <w:jc w:val="center"/>
            </w:pPr>
          </w:p>
        </w:tc>
      </w:tr>
      <w:tr w:rsidR="00B36627" w:rsidRPr="00980D80" w:rsidTr="00B36627">
        <w:tc>
          <w:tcPr>
            <w:tcW w:w="3089" w:type="pct"/>
            <w:tcBorders>
              <w:bottom w:val="single" w:sz="12" w:space="0" w:color="auto"/>
            </w:tcBorders>
            <w:noWrap/>
          </w:tcPr>
          <w:p w:rsidR="00B36627" w:rsidRPr="00980D80" w:rsidRDefault="009544B2" w:rsidP="00B36627">
            <w:pPr>
              <w:rPr>
                <w:b w:val="0"/>
                <w:sz w:val="22"/>
              </w:rPr>
            </w:pPr>
            <w:r>
              <w:rPr>
                <w:b w:val="0"/>
                <w:sz w:val="22"/>
              </w:rPr>
              <w:t>Increase/(Decrease) in Trade Payables</w:t>
            </w:r>
          </w:p>
        </w:tc>
        <w:tc>
          <w:tcPr>
            <w:tcW w:w="733" w:type="pct"/>
            <w:tcBorders>
              <w:bottom w:val="single" w:sz="12" w:space="0" w:color="auto"/>
            </w:tcBorders>
          </w:tcPr>
          <w:p w:rsidR="00B36627" w:rsidRPr="00980D80" w:rsidRDefault="00523207" w:rsidP="00B36627">
            <w:pPr>
              <w:pStyle w:val="DecimalAligned"/>
              <w:jc w:val="right"/>
            </w:pPr>
            <w:r>
              <w:t>(251,485)</w:t>
            </w:r>
          </w:p>
        </w:tc>
        <w:tc>
          <w:tcPr>
            <w:tcW w:w="781" w:type="pct"/>
            <w:tcBorders>
              <w:bottom w:val="single" w:sz="12" w:space="0" w:color="auto"/>
            </w:tcBorders>
          </w:tcPr>
          <w:p w:rsidR="00B36627" w:rsidRPr="00980D80" w:rsidRDefault="00523207" w:rsidP="00B36627">
            <w:pPr>
              <w:pStyle w:val="DecimalAligned"/>
              <w:jc w:val="right"/>
            </w:pPr>
            <w:r>
              <w:t>633,449</w:t>
            </w:r>
          </w:p>
        </w:tc>
        <w:tc>
          <w:tcPr>
            <w:tcW w:w="397" w:type="pct"/>
            <w:tcBorders>
              <w:bottom w:val="single" w:sz="12" w:space="0" w:color="auto"/>
            </w:tcBorders>
          </w:tcPr>
          <w:p w:rsidR="00B36627" w:rsidRPr="00980D80" w:rsidRDefault="00B36627" w:rsidP="00B36627">
            <w:pPr>
              <w:pStyle w:val="DecimalAligned"/>
              <w:jc w:val="center"/>
            </w:pPr>
          </w:p>
        </w:tc>
      </w:tr>
      <w:tr w:rsidR="00B36627" w:rsidRPr="00980D80" w:rsidTr="00B36627">
        <w:tc>
          <w:tcPr>
            <w:tcW w:w="3089" w:type="pct"/>
            <w:tcBorders>
              <w:top w:val="single" w:sz="12" w:space="0" w:color="auto"/>
              <w:bottom w:val="nil"/>
            </w:tcBorders>
            <w:noWrap/>
          </w:tcPr>
          <w:p w:rsidR="00B36627" w:rsidRPr="00082F80" w:rsidRDefault="00523207" w:rsidP="00B36627">
            <w:pPr>
              <w:rPr>
                <w:sz w:val="22"/>
              </w:rPr>
            </w:pPr>
            <w:r>
              <w:rPr>
                <w:sz w:val="22"/>
              </w:rPr>
              <w:t>Net Cash From Operating Activities</w:t>
            </w:r>
          </w:p>
        </w:tc>
        <w:tc>
          <w:tcPr>
            <w:tcW w:w="733" w:type="pct"/>
            <w:tcBorders>
              <w:top w:val="single" w:sz="12" w:space="0" w:color="auto"/>
              <w:bottom w:val="nil"/>
            </w:tcBorders>
          </w:tcPr>
          <w:p w:rsidR="00B36627" w:rsidRPr="00980D80" w:rsidRDefault="00523207" w:rsidP="00B36627">
            <w:pPr>
              <w:pStyle w:val="DecimalAligned"/>
              <w:jc w:val="right"/>
              <w:rPr>
                <w:b/>
              </w:rPr>
            </w:pPr>
            <w:r>
              <w:rPr>
                <w:b/>
              </w:rPr>
              <w:t>(652,429)</w:t>
            </w:r>
          </w:p>
        </w:tc>
        <w:tc>
          <w:tcPr>
            <w:tcW w:w="781" w:type="pct"/>
            <w:tcBorders>
              <w:top w:val="single" w:sz="12" w:space="0" w:color="auto"/>
              <w:bottom w:val="nil"/>
            </w:tcBorders>
          </w:tcPr>
          <w:p w:rsidR="00B36627" w:rsidRPr="00980D80" w:rsidRDefault="00523207" w:rsidP="00B36627">
            <w:pPr>
              <w:pStyle w:val="DecimalAligned"/>
              <w:jc w:val="right"/>
              <w:rPr>
                <w:b/>
              </w:rPr>
            </w:pPr>
            <w:r>
              <w:rPr>
                <w:b/>
              </w:rPr>
              <w:t>(20,130)</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B36627" w:rsidRPr="00980D80" w:rsidTr="00B36627">
        <w:tc>
          <w:tcPr>
            <w:tcW w:w="3089" w:type="pct"/>
            <w:noWrap/>
          </w:tcPr>
          <w:p w:rsidR="00B36627" w:rsidRPr="00A71723" w:rsidRDefault="00523207" w:rsidP="00B36627">
            <w:pPr>
              <w:rPr>
                <w:sz w:val="22"/>
              </w:rPr>
            </w:pPr>
            <w:r>
              <w:rPr>
                <w:sz w:val="22"/>
              </w:rPr>
              <w:t>Investing Activities</w:t>
            </w:r>
          </w:p>
        </w:tc>
        <w:tc>
          <w:tcPr>
            <w:tcW w:w="733" w:type="pct"/>
          </w:tcPr>
          <w:p w:rsidR="00B36627" w:rsidRPr="00980D80" w:rsidRDefault="00B36627" w:rsidP="00B36627">
            <w:pPr>
              <w:pStyle w:val="DecimalAligned"/>
              <w:jc w:val="center"/>
            </w:pPr>
          </w:p>
        </w:tc>
        <w:tc>
          <w:tcPr>
            <w:tcW w:w="781" w:type="pct"/>
          </w:tcPr>
          <w:p w:rsidR="00B36627" w:rsidRPr="00980D80" w:rsidRDefault="00B36627" w:rsidP="00B36627">
            <w:pPr>
              <w:pStyle w:val="DecimalAligned"/>
              <w:jc w:val="right"/>
            </w:pPr>
          </w:p>
        </w:tc>
        <w:tc>
          <w:tcPr>
            <w:tcW w:w="397" w:type="pct"/>
          </w:tcPr>
          <w:p w:rsidR="00B36627" w:rsidRPr="00980D80" w:rsidRDefault="00B36627" w:rsidP="00B36627">
            <w:pPr>
              <w:pStyle w:val="DecimalAligned"/>
            </w:pPr>
          </w:p>
        </w:tc>
      </w:tr>
      <w:tr w:rsidR="00B36627" w:rsidRPr="00980D80" w:rsidTr="00B36627">
        <w:tc>
          <w:tcPr>
            <w:tcW w:w="3089" w:type="pct"/>
            <w:noWrap/>
          </w:tcPr>
          <w:p w:rsidR="00B36627" w:rsidRPr="00980D80" w:rsidRDefault="00523207" w:rsidP="00B36627">
            <w:pPr>
              <w:rPr>
                <w:b w:val="0"/>
                <w:sz w:val="22"/>
              </w:rPr>
            </w:pPr>
            <w:r>
              <w:rPr>
                <w:b w:val="0"/>
                <w:sz w:val="22"/>
              </w:rPr>
              <w:t>Sale/(Purchase) of Operational Property</w:t>
            </w:r>
          </w:p>
        </w:tc>
        <w:tc>
          <w:tcPr>
            <w:tcW w:w="733" w:type="pct"/>
          </w:tcPr>
          <w:p w:rsidR="00B36627" w:rsidRPr="00980D80" w:rsidRDefault="00523207" w:rsidP="00B36627">
            <w:pPr>
              <w:pStyle w:val="DecimalAligned"/>
              <w:jc w:val="right"/>
            </w:pPr>
            <w:r>
              <w:t>(2,869,845)</w:t>
            </w:r>
          </w:p>
        </w:tc>
        <w:tc>
          <w:tcPr>
            <w:tcW w:w="781" w:type="pct"/>
          </w:tcPr>
          <w:p w:rsidR="00B36627" w:rsidRPr="00980D80" w:rsidRDefault="00523207" w:rsidP="00B36627">
            <w:pPr>
              <w:pStyle w:val="DecimalAligned"/>
              <w:jc w:val="right"/>
            </w:pPr>
            <w:r>
              <w:t>(305,000)</w:t>
            </w:r>
          </w:p>
        </w:tc>
        <w:tc>
          <w:tcPr>
            <w:tcW w:w="397" w:type="pct"/>
          </w:tcPr>
          <w:p w:rsidR="00B36627" w:rsidRPr="00980D80" w:rsidRDefault="00B36627" w:rsidP="00B36627">
            <w:pPr>
              <w:pStyle w:val="DecimalAligned"/>
              <w:jc w:val="center"/>
            </w:pPr>
          </w:p>
        </w:tc>
      </w:tr>
      <w:tr w:rsidR="00B36627" w:rsidRPr="00980D80" w:rsidTr="00B36627">
        <w:tc>
          <w:tcPr>
            <w:tcW w:w="3089" w:type="pct"/>
            <w:noWrap/>
          </w:tcPr>
          <w:p w:rsidR="00B36627" w:rsidRPr="00980D80" w:rsidRDefault="00523207" w:rsidP="00B36627">
            <w:pPr>
              <w:rPr>
                <w:b w:val="0"/>
                <w:sz w:val="22"/>
              </w:rPr>
            </w:pPr>
            <w:r>
              <w:rPr>
                <w:b w:val="0"/>
                <w:sz w:val="22"/>
              </w:rPr>
              <w:t>Development Activities</w:t>
            </w:r>
          </w:p>
        </w:tc>
        <w:tc>
          <w:tcPr>
            <w:tcW w:w="733" w:type="pct"/>
          </w:tcPr>
          <w:p w:rsidR="00B36627" w:rsidRPr="00980D80" w:rsidRDefault="00523207" w:rsidP="00B36627">
            <w:pPr>
              <w:pStyle w:val="DecimalAligned"/>
              <w:jc w:val="right"/>
            </w:pPr>
            <w:r>
              <w:t>(1,395,719)</w:t>
            </w:r>
          </w:p>
        </w:tc>
        <w:tc>
          <w:tcPr>
            <w:tcW w:w="781" w:type="pct"/>
          </w:tcPr>
          <w:p w:rsidR="00B36627" w:rsidRPr="00980D80" w:rsidRDefault="00B36627" w:rsidP="00B36627">
            <w:pPr>
              <w:pStyle w:val="DecimalAligned"/>
              <w:jc w:val="right"/>
            </w:pPr>
            <w:r>
              <w:t>0</w:t>
            </w:r>
          </w:p>
        </w:tc>
        <w:tc>
          <w:tcPr>
            <w:tcW w:w="397" w:type="pct"/>
          </w:tcPr>
          <w:p w:rsidR="00B36627" w:rsidRPr="00980D80" w:rsidRDefault="00B36627" w:rsidP="00B36627">
            <w:pPr>
              <w:pStyle w:val="DecimalAligned"/>
              <w:jc w:val="center"/>
            </w:pPr>
          </w:p>
        </w:tc>
      </w:tr>
      <w:tr w:rsidR="00B36627" w:rsidRPr="00980D80" w:rsidTr="00B36627">
        <w:tc>
          <w:tcPr>
            <w:tcW w:w="3089" w:type="pct"/>
            <w:tcBorders>
              <w:top w:val="single" w:sz="12" w:space="0" w:color="auto"/>
              <w:bottom w:val="nil"/>
            </w:tcBorders>
            <w:noWrap/>
          </w:tcPr>
          <w:p w:rsidR="00B36627" w:rsidRPr="00082F80" w:rsidRDefault="00523207" w:rsidP="00B36627">
            <w:pPr>
              <w:rPr>
                <w:sz w:val="22"/>
              </w:rPr>
            </w:pPr>
            <w:r>
              <w:rPr>
                <w:sz w:val="22"/>
              </w:rPr>
              <w:t>Net Cash From Investing Activities</w:t>
            </w:r>
          </w:p>
        </w:tc>
        <w:tc>
          <w:tcPr>
            <w:tcW w:w="733" w:type="pct"/>
            <w:tcBorders>
              <w:top w:val="single" w:sz="12" w:space="0" w:color="auto"/>
              <w:bottom w:val="nil"/>
            </w:tcBorders>
          </w:tcPr>
          <w:p w:rsidR="00B36627" w:rsidRPr="00980D80" w:rsidRDefault="00523207" w:rsidP="00B36627">
            <w:pPr>
              <w:pStyle w:val="DecimalAligned"/>
              <w:jc w:val="right"/>
              <w:rPr>
                <w:b/>
              </w:rPr>
            </w:pPr>
            <w:r>
              <w:rPr>
                <w:b/>
              </w:rPr>
              <w:t>(4,265,564)</w:t>
            </w:r>
          </w:p>
        </w:tc>
        <w:tc>
          <w:tcPr>
            <w:tcW w:w="781" w:type="pct"/>
            <w:tcBorders>
              <w:top w:val="single" w:sz="12" w:space="0" w:color="auto"/>
              <w:bottom w:val="nil"/>
            </w:tcBorders>
          </w:tcPr>
          <w:p w:rsidR="00B36627" w:rsidRPr="00980D80" w:rsidRDefault="00523207" w:rsidP="00B36627">
            <w:pPr>
              <w:pStyle w:val="DecimalAligned"/>
              <w:jc w:val="right"/>
              <w:rPr>
                <w:b/>
              </w:rPr>
            </w:pPr>
            <w:r>
              <w:rPr>
                <w:b/>
              </w:rPr>
              <w:t>(305,000)</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B36627" w:rsidRPr="00980D80" w:rsidTr="00B36627">
        <w:tc>
          <w:tcPr>
            <w:tcW w:w="3089" w:type="pct"/>
            <w:noWrap/>
          </w:tcPr>
          <w:p w:rsidR="00B36627" w:rsidRPr="00A71723" w:rsidRDefault="00523207" w:rsidP="00B36627">
            <w:pPr>
              <w:rPr>
                <w:sz w:val="22"/>
              </w:rPr>
            </w:pPr>
            <w:r>
              <w:rPr>
                <w:sz w:val="22"/>
              </w:rPr>
              <w:t>Financing Activities</w:t>
            </w:r>
          </w:p>
        </w:tc>
        <w:tc>
          <w:tcPr>
            <w:tcW w:w="733" w:type="pct"/>
          </w:tcPr>
          <w:p w:rsidR="00B36627" w:rsidRPr="00980D80" w:rsidRDefault="00B36627" w:rsidP="00B36627">
            <w:pPr>
              <w:pStyle w:val="DecimalAligned"/>
              <w:jc w:val="center"/>
            </w:pPr>
          </w:p>
        </w:tc>
        <w:tc>
          <w:tcPr>
            <w:tcW w:w="781" w:type="pct"/>
          </w:tcPr>
          <w:p w:rsidR="00B36627" w:rsidRPr="00980D80" w:rsidRDefault="00B36627" w:rsidP="00B36627">
            <w:pPr>
              <w:pStyle w:val="DecimalAligned"/>
              <w:jc w:val="right"/>
            </w:pPr>
          </w:p>
        </w:tc>
        <w:tc>
          <w:tcPr>
            <w:tcW w:w="397" w:type="pct"/>
          </w:tcPr>
          <w:p w:rsidR="00B36627" w:rsidRPr="00980D80" w:rsidRDefault="00B36627" w:rsidP="00B36627">
            <w:pPr>
              <w:pStyle w:val="DecimalAligned"/>
            </w:pPr>
          </w:p>
        </w:tc>
      </w:tr>
      <w:tr w:rsidR="00B36627" w:rsidRPr="00980D80" w:rsidTr="00B36627">
        <w:tc>
          <w:tcPr>
            <w:tcW w:w="3089" w:type="pct"/>
            <w:noWrap/>
          </w:tcPr>
          <w:p w:rsidR="00B36627" w:rsidRPr="00980D80" w:rsidRDefault="008F3D38" w:rsidP="00B36627">
            <w:pPr>
              <w:rPr>
                <w:b w:val="0"/>
                <w:sz w:val="22"/>
              </w:rPr>
            </w:pPr>
            <w:r>
              <w:rPr>
                <w:b w:val="0"/>
                <w:sz w:val="22"/>
              </w:rPr>
              <w:t>New Long-Term Borrowing</w:t>
            </w:r>
          </w:p>
        </w:tc>
        <w:tc>
          <w:tcPr>
            <w:tcW w:w="733" w:type="pct"/>
          </w:tcPr>
          <w:p w:rsidR="00B36627" w:rsidRPr="00980D80" w:rsidRDefault="008F3D38" w:rsidP="00B36627">
            <w:pPr>
              <w:pStyle w:val="DecimalAligned"/>
              <w:jc w:val="right"/>
            </w:pPr>
            <w:r>
              <w:t>3,273,064</w:t>
            </w:r>
          </w:p>
        </w:tc>
        <w:tc>
          <w:tcPr>
            <w:tcW w:w="781" w:type="pct"/>
          </w:tcPr>
          <w:p w:rsidR="00B36627" w:rsidRPr="00980D80" w:rsidRDefault="008F3D38" w:rsidP="00B36627">
            <w:pPr>
              <w:pStyle w:val="DecimalAligned"/>
              <w:jc w:val="right"/>
            </w:pPr>
            <w:r>
              <w:t>311,000</w:t>
            </w:r>
          </w:p>
        </w:tc>
        <w:tc>
          <w:tcPr>
            <w:tcW w:w="397" w:type="pct"/>
          </w:tcPr>
          <w:p w:rsidR="00B36627" w:rsidRPr="00980D80" w:rsidRDefault="00B36627" w:rsidP="00B36627">
            <w:pPr>
              <w:pStyle w:val="DecimalAligned"/>
              <w:jc w:val="center"/>
            </w:pPr>
          </w:p>
        </w:tc>
      </w:tr>
      <w:tr w:rsidR="00523207" w:rsidRPr="00980D80" w:rsidTr="00B36627">
        <w:tc>
          <w:tcPr>
            <w:tcW w:w="3089" w:type="pct"/>
            <w:noWrap/>
          </w:tcPr>
          <w:p w:rsidR="00523207" w:rsidRDefault="008F3D38" w:rsidP="00B36627">
            <w:pPr>
              <w:rPr>
                <w:b w:val="0"/>
                <w:sz w:val="22"/>
              </w:rPr>
            </w:pPr>
            <w:r>
              <w:rPr>
                <w:b w:val="0"/>
                <w:sz w:val="22"/>
              </w:rPr>
              <w:t>New Short-Term Borrowing</w:t>
            </w:r>
          </w:p>
        </w:tc>
        <w:tc>
          <w:tcPr>
            <w:tcW w:w="733" w:type="pct"/>
          </w:tcPr>
          <w:p w:rsidR="00523207" w:rsidRPr="00980D80" w:rsidRDefault="008F3D38" w:rsidP="00B36627">
            <w:pPr>
              <w:pStyle w:val="DecimalAligned"/>
              <w:jc w:val="right"/>
            </w:pPr>
            <w:r>
              <w:t>2,138,800</w:t>
            </w:r>
          </w:p>
        </w:tc>
        <w:tc>
          <w:tcPr>
            <w:tcW w:w="781" w:type="pct"/>
          </w:tcPr>
          <w:p w:rsidR="00523207" w:rsidRDefault="008F3D38" w:rsidP="00B36627">
            <w:pPr>
              <w:pStyle w:val="DecimalAligned"/>
              <w:jc w:val="right"/>
            </w:pPr>
            <w:r>
              <w:t>0</w:t>
            </w:r>
          </w:p>
        </w:tc>
        <w:tc>
          <w:tcPr>
            <w:tcW w:w="397" w:type="pct"/>
          </w:tcPr>
          <w:p w:rsidR="00523207" w:rsidRPr="00980D80" w:rsidRDefault="00523207" w:rsidP="00B36627">
            <w:pPr>
              <w:pStyle w:val="DecimalAligned"/>
              <w:jc w:val="center"/>
            </w:pPr>
          </w:p>
        </w:tc>
      </w:tr>
      <w:tr w:rsidR="00FC7A9E" w:rsidRPr="00980D80" w:rsidTr="00B36627">
        <w:tc>
          <w:tcPr>
            <w:tcW w:w="3089" w:type="pct"/>
            <w:noWrap/>
          </w:tcPr>
          <w:p w:rsidR="00FC7A9E" w:rsidRDefault="008F3D38" w:rsidP="00B36627">
            <w:pPr>
              <w:rPr>
                <w:b w:val="0"/>
                <w:sz w:val="22"/>
              </w:rPr>
            </w:pPr>
            <w:r>
              <w:rPr>
                <w:b w:val="0"/>
                <w:sz w:val="22"/>
              </w:rPr>
              <w:t>Issue of Share Capital</w:t>
            </w:r>
          </w:p>
        </w:tc>
        <w:tc>
          <w:tcPr>
            <w:tcW w:w="733" w:type="pct"/>
          </w:tcPr>
          <w:p w:rsidR="00FC7A9E" w:rsidRPr="00980D80" w:rsidRDefault="008F3D38" w:rsidP="00B36627">
            <w:pPr>
              <w:pStyle w:val="DecimalAligned"/>
              <w:jc w:val="right"/>
            </w:pPr>
            <w:r>
              <w:t>0</w:t>
            </w:r>
          </w:p>
        </w:tc>
        <w:tc>
          <w:tcPr>
            <w:tcW w:w="781" w:type="pct"/>
          </w:tcPr>
          <w:p w:rsidR="00FC7A9E" w:rsidRDefault="008F3D38" w:rsidP="00B36627">
            <w:pPr>
              <w:pStyle w:val="DecimalAligned"/>
              <w:jc w:val="right"/>
            </w:pPr>
            <w:r>
              <w:t>0</w:t>
            </w:r>
          </w:p>
        </w:tc>
        <w:tc>
          <w:tcPr>
            <w:tcW w:w="397" w:type="pct"/>
          </w:tcPr>
          <w:p w:rsidR="00FC7A9E" w:rsidRPr="00980D80" w:rsidRDefault="00FC7A9E" w:rsidP="00B36627">
            <w:pPr>
              <w:pStyle w:val="DecimalAligned"/>
              <w:jc w:val="center"/>
            </w:pPr>
          </w:p>
        </w:tc>
      </w:tr>
      <w:tr w:rsidR="00FC7A9E" w:rsidRPr="00980D80" w:rsidTr="00B36627">
        <w:tc>
          <w:tcPr>
            <w:tcW w:w="3089" w:type="pct"/>
            <w:noWrap/>
          </w:tcPr>
          <w:p w:rsidR="00FC7A9E" w:rsidRDefault="008F3D38" w:rsidP="00B36627">
            <w:pPr>
              <w:rPr>
                <w:b w:val="0"/>
                <w:sz w:val="22"/>
              </w:rPr>
            </w:pPr>
            <w:r>
              <w:rPr>
                <w:b w:val="0"/>
                <w:sz w:val="22"/>
              </w:rPr>
              <w:t>Interest Payable and Similar Charges</w:t>
            </w:r>
          </w:p>
        </w:tc>
        <w:tc>
          <w:tcPr>
            <w:tcW w:w="733" w:type="pct"/>
          </w:tcPr>
          <w:p w:rsidR="00FC7A9E" w:rsidRPr="00980D80" w:rsidRDefault="008F3D38" w:rsidP="00B36627">
            <w:pPr>
              <w:pStyle w:val="DecimalAligned"/>
              <w:jc w:val="right"/>
            </w:pPr>
            <w:r>
              <w:t>(114,612)</w:t>
            </w:r>
          </w:p>
        </w:tc>
        <w:tc>
          <w:tcPr>
            <w:tcW w:w="781" w:type="pct"/>
          </w:tcPr>
          <w:p w:rsidR="00FC7A9E" w:rsidRDefault="008F3D38" w:rsidP="00B36627">
            <w:pPr>
              <w:pStyle w:val="DecimalAligned"/>
              <w:jc w:val="right"/>
            </w:pPr>
            <w:r>
              <w:t>(565)</w:t>
            </w:r>
          </w:p>
        </w:tc>
        <w:tc>
          <w:tcPr>
            <w:tcW w:w="397" w:type="pct"/>
          </w:tcPr>
          <w:p w:rsidR="00FC7A9E" w:rsidRPr="00980D80" w:rsidRDefault="00FC7A9E" w:rsidP="00B36627">
            <w:pPr>
              <w:pStyle w:val="DecimalAligned"/>
              <w:jc w:val="center"/>
            </w:pPr>
          </w:p>
        </w:tc>
      </w:tr>
      <w:tr w:rsidR="00B36627" w:rsidRPr="00980D80" w:rsidTr="008F3D38">
        <w:tc>
          <w:tcPr>
            <w:tcW w:w="3089" w:type="pct"/>
            <w:tcBorders>
              <w:bottom w:val="single" w:sz="12" w:space="0" w:color="auto"/>
            </w:tcBorders>
            <w:noWrap/>
          </w:tcPr>
          <w:p w:rsidR="00B36627" w:rsidRPr="00980D80" w:rsidRDefault="008F3D38" w:rsidP="00B36627">
            <w:pPr>
              <w:rPr>
                <w:b w:val="0"/>
                <w:sz w:val="22"/>
              </w:rPr>
            </w:pPr>
            <w:r>
              <w:rPr>
                <w:b w:val="0"/>
                <w:sz w:val="22"/>
              </w:rPr>
              <w:t>Reduction in Borrowing</w:t>
            </w:r>
          </w:p>
        </w:tc>
        <w:tc>
          <w:tcPr>
            <w:tcW w:w="733" w:type="pct"/>
            <w:tcBorders>
              <w:bottom w:val="single" w:sz="12" w:space="0" w:color="auto"/>
            </w:tcBorders>
          </w:tcPr>
          <w:p w:rsidR="00B36627" w:rsidRPr="00980D80" w:rsidRDefault="00B36627" w:rsidP="00B36627">
            <w:pPr>
              <w:pStyle w:val="DecimalAligned"/>
              <w:jc w:val="right"/>
            </w:pPr>
            <w:r w:rsidRPr="00980D80">
              <w:t>0</w:t>
            </w:r>
          </w:p>
        </w:tc>
        <w:tc>
          <w:tcPr>
            <w:tcW w:w="781" w:type="pct"/>
            <w:tcBorders>
              <w:bottom w:val="single" w:sz="12" w:space="0" w:color="auto"/>
            </w:tcBorders>
          </w:tcPr>
          <w:p w:rsidR="00B36627" w:rsidRPr="00980D80" w:rsidRDefault="00B36627" w:rsidP="00B36627">
            <w:pPr>
              <w:pStyle w:val="DecimalAligned"/>
              <w:jc w:val="right"/>
            </w:pPr>
            <w:r>
              <w:t>0</w:t>
            </w:r>
          </w:p>
        </w:tc>
        <w:tc>
          <w:tcPr>
            <w:tcW w:w="397" w:type="pct"/>
            <w:tcBorders>
              <w:bottom w:val="single" w:sz="12" w:space="0" w:color="auto"/>
            </w:tcBorders>
          </w:tcPr>
          <w:p w:rsidR="00B36627" w:rsidRPr="00980D80" w:rsidRDefault="00B36627" w:rsidP="00B36627">
            <w:pPr>
              <w:pStyle w:val="DecimalAligned"/>
              <w:jc w:val="center"/>
            </w:pPr>
          </w:p>
        </w:tc>
      </w:tr>
      <w:tr w:rsidR="00B36627" w:rsidRPr="00980D80" w:rsidTr="00C77DCB">
        <w:tc>
          <w:tcPr>
            <w:tcW w:w="3089" w:type="pct"/>
            <w:tcBorders>
              <w:top w:val="single" w:sz="12" w:space="0" w:color="auto"/>
              <w:bottom w:val="nil"/>
            </w:tcBorders>
            <w:noWrap/>
          </w:tcPr>
          <w:p w:rsidR="00B36627" w:rsidRPr="00082F80" w:rsidRDefault="008F3D38" w:rsidP="00B36627">
            <w:pPr>
              <w:rPr>
                <w:sz w:val="22"/>
              </w:rPr>
            </w:pPr>
            <w:r>
              <w:rPr>
                <w:sz w:val="22"/>
              </w:rPr>
              <w:t>Net Cash From Financing Activities</w:t>
            </w:r>
          </w:p>
        </w:tc>
        <w:tc>
          <w:tcPr>
            <w:tcW w:w="733" w:type="pct"/>
            <w:tcBorders>
              <w:top w:val="single" w:sz="12" w:space="0" w:color="auto"/>
              <w:bottom w:val="nil"/>
            </w:tcBorders>
          </w:tcPr>
          <w:p w:rsidR="00B36627" w:rsidRPr="00980D80" w:rsidRDefault="008F3D38" w:rsidP="00B36627">
            <w:pPr>
              <w:pStyle w:val="DecimalAligned"/>
              <w:jc w:val="right"/>
              <w:rPr>
                <w:b/>
              </w:rPr>
            </w:pPr>
            <w:r>
              <w:rPr>
                <w:b/>
              </w:rPr>
              <w:t>5,297,252</w:t>
            </w:r>
          </w:p>
        </w:tc>
        <w:tc>
          <w:tcPr>
            <w:tcW w:w="781" w:type="pct"/>
            <w:tcBorders>
              <w:top w:val="single" w:sz="12" w:space="0" w:color="auto"/>
              <w:bottom w:val="nil"/>
            </w:tcBorders>
          </w:tcPr>
          <w:p w:rsidR="00B36627" w:rsidRPr="00980D80" w:rsidRDefault="008F3D38" w:rsidP="00B36627">
            <w:pPr>
              <w:pStyle w:val="DecimalAligned"/>
              <w:jc w:val="right"/>
              <w:rPr>
                <w:b/>
              </w:rPr>
            </w:pPr>
            <w:r>
              <w:rPr>
                <w:b/>
              </w:rPr>
              <w:t>310,435</w:t>
            </w:r>
          </w:p>
        </w:tc>
        <w:tc>
          <w:tcPr>
            <w:tcW w:w="397" w:type="pct"/>
            <w:tcBorders>
              <w:top w:val="single" w:sz="12" w:space="0" w:color="auto"/>
              <w:bottom w:val="nil"/>
            </w:tcBorders>
          </w:tcPr>
          <w:p w:rsidR="00B36627" w:rsidRPr="00980D80" w:rsidRDefault="00B36627" w:rsidP="00B36627">
            <w:pPr>
              <w:pStyle w:val="DecimalAligned"/>
              <w:jc w:val="center"/>
              <w:rPr>
                <w:b/>
              </w:rPr>
            </w:pPr>
          </w:p>
        </w:tc>
      </w:tr>
      <w:tr w:rsidR="002D6697" w:rsidRPr="00980D80" w:rsidTr="00C77DCB">
        <w:tc>
          <w:tcPr>
            <w:tcW w:w="3089" w:type="pct"/>
            <w:tcBorders>
              <w:top w:val="single" w:sz="12" w:space="0" w:color="auto"/>
              <w:bottom w:val="nil"/>
            </w:tcBorders>
            <w:noWrap/>
          </w:tcPr>
          <w:p w:rsidR="002D6697" w:rsidRDefault="002D6697" w:rsidP="00B36627">
            <w:pPr>
              <w:rPr>
                <w:sz w:val="22"/>
              </w:rPr>
            </w:pPr>
            <w:r>
              <w:rPr>
                <w:sz w:val="22"/>
              </w:rPr>
              <w:t>Net Cashflows</w:t>
            </w:r>
          </w:p>
        </w:tc>
        <w:tc>
          <w:tcPr>
            <w:tcW w:w="733" w:type="pct"/>
            <w:tcBorders>
              <w:top w:val="single" w:sz="12" w:space="0" w:color="auto"/>
              <w:bottom w:val="nil"/>
            </w:tcBorders>
          </w:tcPr>
          <w:p w:rsidR="002D6697" w:rsidRDefault="002D6697" w:rsidP="00B36627">
            <w:pPr>
              <w:pStyle w:val="DecimalAligned"/>
              <w:jc w:val="right"/>
              <w:rPr>
                <w:b/>
              </w:rPr>
            </w:pPr>
            <w:r>
              <w:rPr>
                <w:b/>
              </w:rPr>
              <w:t>379,259</w:t>
            </w:r>
          </w:p>
        </w:tc>
        <w:tc>
          <w:tcPr>
            <w:tcW w:w="781" w:type="pct"/>
            <w:tcBorders>
              <w:top w:val="single" w:sz="12" w:space="0" w:color="auto"/>
              <w:bottom w:val="nil"/>
            </w:tcBorders>
          </w:tcPr>
          <w:p w:rsidR="002D6697" w:rsidRDefault="002D6697" w:rsidP="00B36627">
            <w:pPr>
              <w:pStyle w:val="DecimalAligned"/>
              <w:jc w:val="right"/>
              <w:rPr>
                <w:b/>
              </w:rPr>
            </w:pPr>
            <w:r>
              <w:rPr>
                <w:b/>
              </w:rPr>
              <w:t>(14,695)</w:t>
            </w:r>
          </w:p>
        </w:tc>
        <w:tc>
          <w:tcPr>
            <w:tcW w:w="397" w:type="pct"/>
            <w:tcBorders>
              <w:top w:val="single" w:sz="12" w:space="0" w:color="auto"/>
              <w:bottom w:val="nil"/>
            </w:tcBorders>
          </w:tcPr>
          <w:p w:rsidR="002D6697" w:rsidRPr="00980D80" w:rsidRDefault="002D6697" w:rsidP="00B36627">
            <w:pPr>
              <w:pStyle w:val="DecimalAligned"/>
              <w:jc w:val="center"/>
              <w:rPr>
                <w:b/>
              </w:rPr>
            </w:pPr>
          </w:p>
        </w:tc>
      </w:tr>
      <w:tr w:rsidR="002D6697" w:rsidRPr="00980D80" w:rsidTr="009E1063">
        <w:trPr>
          <w:cnfStyle w:val="010000000000" w:firstRow="0" w:lastRow="1" w:firstColumn="0" w:lastColumn="0" w:oddVBand="0" w:evenVBand="0" w:oddHBand="0" w:evenHBand="0" w:firstRowFirstColumn="0" w:firstRowLastColumn="0" w:lastRowFirstColumn="0" w:lastRowLastColumn="0"/>
        </w:trPr>
        <w:tc>
          <w:tcPr>
            <w:tcW w:w="3089" w:type="pct"/>
            <w:tcBorders>
              <w:top w:val="single" w:sz="12" w:space="0" w:color="auto"/>
              <w:bottom w:val="nil"/>
            </w:tcBorders>
            <w:noWrap/>
          </w:tcPr>
          <w:p w:rsidR="002D6697" w:rsidRDefault="002D6697" w:rsidP="00B36627">
            <w:pPr>
              <w:rPr>
                <w:sz w:val="22"/>
              </w:rPr>
            </w:pPr>
          </w:p>
        </w:tc>
        <w:tc>
          <w:tcPr>
            <w:tcW w:w="733" w:type="pct"/>
            <w:tcBorders>
              <w:top w:val="single" w:sz="12" w:space="0" w:color="auto"/>
              <w:bottom w:val="nil"/>
            </w:tcBorders>
          </w:tcPr>
          <w:p w:rsidR="002D6697" w:rsidRDefault="002D6697" w:rsidP="00B36627">
            <w:pPr>
              <w:pStyle w:val="DecimalAligned"/>
              <w:jc w:val="right"/>
              <w:rPr>
                <w:b/>
              </w:rPr>
            </w:pPr>
          </w:p>
        </w:tc>
        <w:tc>
          <w:tcPr>
            <w:tcW w:w="781" w:type="pct"/>
            <w:tcBorders>
              <w:top w:val="single" w:sz="12" w:space="0" w:color="auto"/>
              <w:bottom w:val="nil"/>
            </w:tcBorders>
          </w:tcPr>
          <w:p w:rsidR="002D6697" w:rsidRDefault="002D6697" w:rsidP="00B36627">
            <w:pPr>
              <w:pStyle w:val="DecimalAligned"/>
              <w:jc w:val="right"/>
              <w:rPr>
                <w:b/>
              </w:rPr>
            </w:pPr>
          </w:p>
        </w:tc>
        <w:tc>
          <w:tcPr>
            <w:tcW w:w="397" w:type="pct"/>
            <w:tcBorders>
              <w:top w:val="single" w:sz="12" w:space="0" w:color="auto"/>
              <w:bottom w:val="nil"/>
            </w:tcBorders>
          </w:tcPr>
          <w:p w:rsidR="002D6697" w:rsidRPr="00980D80" w:rsidRDefault="002D6697" w:rsidP="00B36627">
            <w:pPr>
              <w:pStyle w:val="DecimalAligned"/>
              <w:jc w:val="center"/>
              <w:rPr>
                <w:b/>
              </w:rPr>
            </w:pPr>
          </w:p>
        </w:tc>
      </w:tr>
    </w:tbl>
    <w:p w:rsidR="00C10D45" w:rsidRDefault="00C10D45" w:rsidP="00C10D45"/>
    <w:p w:rsidR="00C10D45" w:rsidRDefault="00C10D45" w:rsidP="00C10D45"/>
    <w:p w:rsidR="00C10D45" w:rsidRDefault="00C10D45" w:rsidP="00C10D45">
      <w:pPr>
        <w:pStyle w:val="Heading2"/>
        <w:rPr>
          <w:b/>
          <w:color w:val="005386"/>
        </w:rPr>
      </w:pPr>
      <w:r>
        <w:rPr>
          <w:b/>
          <w:color w:val="005386"/>
        </w:rPr>
        <w:lastRenderedPageBreak/>
        <w:t>Notes to the Group Financial Statements 2018-19</w:t>
      </w:r>
    </w:p>
    <w:p w:rsidR="00C10D45" w:rsidRPr="00C07115" w:rsidRDefault="00C07115" w:rsidP="005A3A63">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t>Operational Property</w:t>
      </w:r>
    </w:p>
    <w:p w:rsidR="00C07115" w:rsidRDefault="00C07115" w:rsidP="00C07115">
      <w:pPr>
        <w:pStyle w:val="ListParagraph"/>
        <w:ind w:left="720"/>
        <w:rPr>
          <w:rFonts w:asciiTheme="minorHAnsi" w:hAnsiTheme="minorHAnsi" w:cstheme="minorHAnsi"/>
          <w:sz w:val="28"/>
          <w:szCs w:val="28"/>
        </w:rPr>
      </w:pPr>
    </w:p>
    <w:tbl>
      <w:tblPr>
        <w:tblStyle w:val="MediumShading2-Accent5"/>
        <w:tblW w:w="4237" w:type="pct"/>
        <w:tblLook w:val="0660" w:firstRow="1" w:lastRow="1" w:firstColumn="0" w:lastColumn="0" w:noHBand="1" w:noVBand="1"/>
      </w:tblPr>
      <w:tblGrid>
        <w:gridCol w:w="5505"/>
        <w:gridCol w:w="1550"/>
        <w:gridCol w:w="1549"/>
      </w:tblGrid>
      <w:tr w:rsidR="008A4F4A" w:rsidTr="00EF06C2">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8A4F4A" w:rsidRPr="000349B6" w:rsidRDefault="008A4F4A" w:rsidP="008A4F4A">
            <w:pPr>
              <w:rPr>
                <w:b/>
                <w:color w:val="FFFFFF" w:themeColor="background1"/>
              </w:rPr>
            </w:pPr>
          </w:p>
        </w:tc>
        <w:tc>
          <w:tcPr>
            <w:tcW w:w="901" w:type="pct"/>
            <w:shd w:val="clear" w:color="auto" w:fill="0070C0"/>
          </w:tcPr>
          <w:p w:rsidR="008A4F4A" w:rsidRPr="000349B6" w:rsidRDefault="008A4F4A" w:rsidP="008A4F4A">
            <w:pPr>
              <w:jc w:val="right"/>
              <w:rPr>
                <w:b/>
                <w:color w:val="FFFFFF" w:themeColor="background1"/>
              </w:rPr>
            </w:pPr>
            <w:r>
              <w:rPr>
                <w:b/>
                <w:color w:val="FFFFFF" w:themeColor="background1"/>
              </w:rPr>
              <w:t>2018/19</w:t>
            </w:r>
          </w:p>
        </w:tc>
        <w:tc>
          <w:tcPr>
            <w:tcW w:w="900" w:type="pct"/>
            <w:shd w:val="clear" w:color="auto" w:fill="0070C0"/>
          </w:tcPr>
          <w:p w:rsidR="008A4F4A" w:rsidRPr="000349B6" w:rsidRDefault="008A4F4A" w:rsidP="008A4F4A">
            <w:pPr>
              <w:jc w:val="center"/>
              <w:rPr>
                <w:b/>
                <w:color w:val="FFFFFF" w:themeColor="background1"/>
              </w:rPr>
            </w:pPr>
            <w:r>
              <w:rPr>
                <w:b/>
                <w:color w:val="FFFFFF" w:themeColor="background1"/>
              </w:rPr>
              <w:t>2017/18</w:t>
            </w:r>
          </w:p>
        </w:tc>
      </w:tr>
      <w:tr w:rsidR="008A4F4A" w:rsidRPr="00980D80" w:rsidTr="008A4F4A">
        <w:tc>
          <w:tcPr>
            <w:tcW w:w="3199" w:type="pct"/>
            <w:tcBorders>
              <w:top w:val="single" w:sz="18" w:space="0" w:color="auto"/>
              <w:bottom w:val="nil"/>
            </w:tcBorders>
            <w:noWrap/>
          </w:tcPr>
          <w:p w:rsidR="008A4F4A" w:rsidRPr="00980D80" w:rsidRDefault="008A4F4A" w:rsidP="008A4F4A">
            <w:pPr>
              <w:rPr>
                <w:sz w:val="22"/>
              </w:rPr>
            </w:pPr>
          </w:p>
        </w:tc>
        <w:tc>
          <w:tcPr>
            <w:tcW w:w="901" w:type="pct"/>
            <w:tcBorders>
              <w:top w:val="single" w:sz="18" w:space="0" w:color="auto"/>
              <w:bottom w:val="nil"/>
            </w:tcBorders>
          </w:tcPr>
          <w:p w:rsidR="008A4F4A" w:rsidRPr="00980D80" w:rsidRDefault="008A4F4A" w:rsidP="008A4F4A">
            <w:pPr>
              <w:jc w:val="right"/>
              <w:rPr>
                <w:i/>
                <w:sz w:val="22"/>
              </w:rPr>
            </w:pPr>
            <w:r w:rsidRPr="00980D80">
              <w:rPr>
                <w:i/>
                <w:sz w:val="22"/>
              </w:rPr>
              <w:t>£</w:t>
            </w:r>
          </w:p>
        </w:tc>
        <w:tc>
          <w:tcPr>
            <w:tcW w:w="901" w:type="pct"/>
            <w:tcBorders>
              <w:top w:val="single" w:sz="18" w:space="0" w:color="auto"/>
              <w:bottom w:val="nil"/>
            </w:tcBorders>
          </w:tcPr>
          <w:p w:rsidR="008A4F4A" w:rsidRPr="00EC1D88" w:rsidRDefault="008A4F4A" w:rsidP="008A4F4A">
            <w:pPr>
              <w:jc w:val="right"/>
              <w:rPr>
                <w:i/>
                <w:sz w:val="22"/>
              </w:rPr>
            </w:pPr>
            <w:r w:rsidRPr="00EC1D88">
              <w:rPr>
                <w:i/>
                <w:sz w:val="22"/>
              </w:rPr>
              <w:t>£</w:t>
            </w:r>
          </w:p>
        </w:tc>
      </w:tr>
      <w:tr w:rsidR="008A4F4A" w:rsidRPr="00EC1D88" w:rsidTr="008A4F4A">
        <w:tc>
          <w:tcPr>
            <w:tcW w:w="3199" w:type="pct"/>
            <w:tcBorders>
              <w:top w:val="nil"/>
              <w:bottom w:val="nil"/>
            </w:tcBorders>
            <w:noWrap/>
          </w:tcPr>
          <w:p w:rsidR="008A4F4A" w:rsidRPr="00EC1D88" w:rsidRDefault="00EF06C2" w:rsidP="008A4F4A">
            <w:pPr>
              <w:rPr>
                <w:b w:val="0"/>
                <w:sz w:val="22"/>
              </w:rPr>
            </w:pPr>
            <w:r>
              <w:rPr>
                <w:b w:val="0"/>
                <w:sz w:val="22"/>
              </w:rPr>
              <w:t>Opening Operational Property</w:t>
            </w:r>
            <w:r w:rsidR="008A4F4A">
              <w:rPr>
                <w:b w:val="0"/>
                <w:sz w:val="22"/>
              </w:rPr>
              <w:t xml:space="preserve"> 01 April</w:t>
            </w:r>
          </w:p>
        </w:tc>
        <w:tc>
          <w:tcPr>
            <w:tcW w:w="901" w:type="pct"/>
            <w:tcBorders>
              <w:top w:val="nil"/>
              <w:bottom w:val="nil"/>
            </w:tcBorders>
          </w:tcPr>
          <w:p w:rsidR="008A4F4A" w:rsidRPr="00EC1D88" w:rsidRDefault="008A4F4A" w:rsidP="008A4F4A">
            <w:pPr>
              <w:pStyle w:val="DecimalAligned"/>
              <w:jc w:val="right"/>
            </w:pPr>
            <w:r>
              <w:t>1,033,000</w:t>
            </w:r>
          </w:p>
        </w:tc>
        <w:tc>
          <w:tcPr>
            <w:tcW w:w="901" w:type="pct"/>
            <w:tcBorders>
              <w:top w:val="nil"/>
              <w:bottom w:val="nil"/>
            </w:tcBorders>
          </w:tcPr>
          <w:p w:rsidR="008A4F4A" w:rsidRPr="00EC1D88" w:rsidRDefault="00527F28" w:rsidP="008A4F4A">
            <w:pPr>
              <w:pStyle w:val="DecimalAligned"/>
              <w:jc w:val="right"/>
            </w:pPr>
            <w:r>
              <w:t>728,000</w:t>
            </w:r>
          </w:p>
        </w:tc>
      </w:tr>
      <w:tr w:rsidR="008A4F4A" w:rsidRPr="00980D80" w:rsidTr="008A4F4A">
        <w:tc>
          <w:tcPr>
            <w:tcW w:w="3199" w:type="pct"/>
            <w:noWrap/>
          </w:tcPr>
          <w:p w:rsidR="008A4F4A" w:rsidRPr="00980D80" w:rsidRDefault="00EB0657" w:rsidP="008A4F4A">
            <w:pPr>
              <w:rPr>
                <w:b w:val="0"/>
                <w:sz w:val="22"/>
              </w:rPr>
            </w:pPr>
            <w:r>
              <w:rPr>
                <w:b w:val="0"/>
                <w:sz w:val="22"/>
              </w:rPr>
              <w:t>Purchase of Operational Property In Year</w:t>
            </w:r>
          </w:p>
        </w:tc>
        <w:tc>
          <w:tcPr>
            <w:tcW w:w="901" w:type="pct"/>
          </w:tcPr>
          <w:p w:rsidR="008A4F4A" w:rsidRPr="00980D80" w:rsidRDefault="00EB0657" w:rsidP="008A4F4A">
            <w:pPr>
              <w:pStyle w:val="DecimalAligned"/>
              <w:jc w:val="right"/>
            </w:pPr>
            <w:r>
              <w:t>2,869,845</w:t>
            </w:r>
          </w:p>
        </w:tc>
        <w:tc>
          <w:tcPr>
            <w:tcW w:w="901" w:type="pct"/>
          </w:tcPr>
          <w:p w:rsidR="008A4F4A" w:rsidRPr="00980D80" w:rsidRDefault="00527F28" w:rsidP="008A4F4A">
            <w:pPr>
              <w:pStyle w:val="DecimalAligned"/>
              <w:jc w:val="right"/>
            </w:pPr>
            <w:r>
              <w:t>305,000</w:t>
            </w:r>
          </w:p>
        </w:tc>
      </w:tr>
      <w:tr w:rsidR="008A4F4A" w:rsidRPr="00980D80" w:rsidTr="008A4F4A">
        <w:tc>
          <w:tcPr>
            <w:tcW w:w="3199" w:type="pct"/>
            <w:noWrap/>
          </w:tcPr>
          <w:p w:rsidR="008A4F4A" w:rsidRDefault="00EB0657" w:rsidP="008A4F4A">
            <w:pPr>
              <w:rPr>
                <w:b w:val="0"/>
                <w:sz w:val="22"/>
              </w:rPr>
            </w:pPr>
            <w:r>
              <w:rPr>
                <w:b w:val="0"/>
                <w:sz w:val="22"/>
              </w:rPr>
              <w:t>Revaluations</w:t>
            </w:r>
          </w:p>
        </w:tc>
        <w:tc>
          <w:tcPr>
            <w:tcW w:w="901" w:type="pct"/>
          </w:tcPr>
          <w:p w:rsidR="008A4F4A" w:rsidRDefault="00EB0657" w:rsidP="008A4F4A">
            <w:pPr>
              <w:pStyle w:val="DecimalAligned"/>
              <w:jc w:val="right"/>
            </w:pPr>
            <w:r>
              <w:t>1,118,313</w:t>
            </w:r>
          </w:p>
        </w:tc>
        <w:tc>
          <w:tcPr>
            <w:tcW w:w="901" w:type="pct"/>
          </w:tcPr>
          <w:p w:rsidR="008A4F4A" w:rsidRDefault="00EF06C2" w:rsidP="008A4F4A">
            <w:pPr>
              <w:pStyle w:val="DecimalAligned"/>
              <w:jc w:val="right"/>
            </w:pPr>
            <w:r>
              <w:t>0</w:t>
            </w:r>
          </w:p>
        </w:tc>
      </w:tr>
      <w:tr w:rsidR="008A4F4A" w:rsidRPr="00980D80" w:rsidTr="008A4F4A">
        <w:tc>
          <w:tcPr>
            <w:tcW w:w="3199" w:type="pct"/>
            <w:noWrap/>
          </w:tcPr>
          <w:p w:rsidR="008A4F4A" w:rsidRDefault="00EB0657" w:rsidP="008A4F4A">
            <w:pPr>
              <w:rPr>
                <w:b w:val="0"/>
                <w:sz w:val="22"/>
              </w:rPr>
            </w:pPr>
            <w:r>
              <w:rPr>
                <w:b w:val="0"/>
                <w:sz w:val="22"/>
              </w:rPr>
              <w:t>Impairment</w:t>
            </w:r>
          </w:p>
        </w:tc>
        <w:tc>
          <w:tcPr>
            <w:tcW w:w="901" w:type="pct"/>
          </w:tcPr>
          <w:p w:rsidR="008A4F4A" w:rsidRDefault="00EB0657" w:rsidP="008A4F4A">
            <w:pPr>
              <w:pStyle w:val="DecimalAligned"/>
              <w:jc w:val="right"/>
            </w:pPr>
            <w:r>
              <w:t>(113,158)</w:t>
            </w:r>
          </w:p>
        </w:tc>
        <w:tc>
          <w:tcPr>
            <w:tcW w:w="901" w:type="pct"/>
          </w:tcPr>
          <w:p w:rsidR="008A4F4A" w:rsidRDefault="00EF06C2" w:rsidP="008A4F4A">
            <w:pPr>
              <w:pStyle w:val="DecimalAligned"/>
              <w:jc w:val="right"/>
            </w:pPr>
            <w:r>
              <w:t>0</w:t>
            </w:r>
          </w:p>
        </w:tc>
      </w:tr>
      <w:tr w:rsidR="008A4F4A" w:rsidRPr="00980D80" w:rsidTr="008A4F4A">
        <w:tc>
          <w:tcPr>
            <w:tcW w:w="3199" w:type="pct"/>
            <w:noWrap/>
          </w:tcPr>
          <w:p w:rsidR="008A4F4A" w:rsidRDefault="00EB0657" w:rsidP="008A4F4A">
            <w:pPr>
              <w:rPr>
                <w:b w:val="0"/>
                <w:sz w:val="22"/>
              </w:rPr>
            </w:pPr>
            <w:r>
              <w:rPr>
                <w:b w:val="0"/>
                <w:sz w:val="22"/>
              </w:rPr>
              <w:t>Disposals</w:t>
            </w:r>
          </w:p>
        </w:tc>
        <w:tc>
          <w:tcPr>
            <w:tcW w:w="901" w:type="pct"/>
          </w:tcPr>
          <w:p w:rsidR="008A4F4A" w:rsidRDefault="00EB0657" w:rsidP="008A4F4A">
            <w:pPr>
              <w:pStyle w:val="DecimalAligned"/>
              <w:jc w:val="right"/>
            </w:pPr>
            <w:r>
              <w:t>0</w:t>
            </w:r>
          </w:p>
        </w:tc>
        <w:tc>
          <w:tcPr>
            <w:tcW w:w="901" w:type="pct"/>
          </w:tcPr>
          <w:p w:rsidR="008A4F4A" w:rsidRDefault="00EF06C2" w:rsidP="008A4F4A">
            <w:pPr>
              <w:pStyle w:val="DecimalAligned"/>
              <w:jc w:val="right"/>
            </w:pPr>
            <w:r>
              <w:t>0</w:t>
            </w:r>
          </w:p>
        </w:tc>
      </w:tr>
      <w:tr w:rsidR="008A4F4A" w:rsidRPr="00980D80" w:rsidTr="008A4F4A">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8A4F4A" w:rsidRPr="00980D80" w:rsidRDefault="00474FE7" w:rsidP="00EF06C2">
            <w:pPr>
              <w:rPr>
                <w:sz w:val="22"/>
              </w:rPr>
            </w:pPr>
            <w:r>
              <w:rPr>
                <w:sz w:val="22"/>
              </w:rPr>
              <w:t xml:space="preserve">Closing </w:t>
            </w:r>
            <w:r w:rsidR="00EF06C2">
              <w:rPr>
                <w:sz w:val="22"/>
              </w:rPr>
              <w:t>Operational Property 31 March</w:t>
            </w:r>
          </w:p>
        </w:tc>
        <w:tc>
          <w:tcPr>
            <w:tcW w:w="901" w:type="pct"/>
            <w:tcBorders>
              <w:top w:val="single" w:sz="12" w:space="0" w:color="auto"/>
              <w:bottom w:val="nil"/>
            </w:tcBorders>
          </w:tcPr>
          <w:p w:rsidR="008A4F4A" w:rsidRPr="00980D80" w:rsidRDefault="00EF06C2" w:rsidP="008A4F4A">
            <w:pPr>
              <w:pStyle w:val="DecimalAligned"/>
              <w:jc w:val="right"/>
              <w:rPr>
                <w:b/>
              </w:rPr>
            </w:pPr>
            <w:r>
              <w:rPr>
                <w:b/>
              </w:rPr>
              <w:t>4,908,000</w:t>
            </w:r>
          </w:p>
        </w:tc>
        <w:tc>
          <w:tcPr>
            <w:tcW w:w="901" w:type="pct"/>
            <w:tcBorders>
              <w:top w:val="single" w:sz="12" w:space="0" w:color="auto"/>
              <w:bottom w:val="nil"/>
            </w:tcBorders>
          </w:tcPr>
          <w:p w:rsidR="008A4F4A" w:rsidRPr="00980D80" w:rsidRDefault="00EF06C2" w:rsidP="008A4F4A">
            <w:pPr>
              <w:pStyle w:val="DecimalAligned"/>
              <w:jc w:val="right"/>
              <w:rPr>
                <w:b/>
              </w:rPr>
            </w:pPr>
            <w:r>
              <w:rPr>
                <w:b/>
              </w:rPr>
              <w:t>1,033,000</w:t>
            </w:r>
          </w:p>
        </w:tc>
      </w:tr>
    </w:tbl>
    <w:p w:rsidR="00C07115" w:rsidRPr="00474FE7" w:rsidRDefault="00C07115" w:rsidP="00474FE7">
      <w:pPr>
        <w:rPr>
          <w:rFonts w:cstheme="minorHAnsi"/>
          <w:szCs w:val="28"/>
        </w:rPr>
      </w:pPr>
    </w:p>
    <w:p w:rsidR="00C07115" w:rsidRDefault="00527F28" w:rsidP="005A3A63">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t>Trade and Other Receivables</w:t>
      </w:r>
    </w:p>
    <w:p w:rsidR="00527F28" w:rsidRDefault="00527F28" w:rsidP="00527F28">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527F28"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527F28" w:rsidRPr="000349B6" w:rsidRDefault="00527F28" w:rsidP="00D302EF">
            <w:pPr>
              <w:rPr>
                <w:b/>
                <w:color w:val="FFFFFF" w:themeColor="background1"/>
              </w:rPr>
            </w:pPr>
          </w:p>
        </w:tc>
        <w:tc>
          <w:tcPr>
            <w:tcW w:w="901" w:type="pct"/>
            <w:shd w:val="clear" w:color="auto" w:fill="0070C0"/>
          </w:tcPr>
          <w:p w:rsidR="00527F28" w:rsidRPr="000349B6" w:rsidRDefault="00527F28" w:rsidP="00D302EF">
            <w:pPr>
              <w:jc w:val="right"/>
              <w:rPr>
                <w:b/>
                <w:color w:val="FFFFFF" w:themeColor="background1"/>
              </w:rPr>
            </w:pPr>
            <w:r>
              <w:rPr>
                <w:b/>
                <w:color w:val="FFFFFF" w:themeColor="background1"/>
              </w:rPr>
              <w:t>2018/19</w:t>
            </w:r>
          </w:p>
        </w:tc>
        <w:tc>
          <w:tcPr>
            <w:tcW w:w="900" w:type="pct"/>
            <w:shd w:val="clear" w:color="auto" w:fill="0070C0"/>
          </w:tcPr>
          <w:p w:rsidR="00527F28" w:rsidRPr="000349B6" w:rsidRDefault="00527F28" w:rsidP="00D302EF">
            <w:pPr>
              <w:jc w:val="center"/>
              <w:rPr>
                <w:b/>
                <w:color w:val="FFFFFF" w:themeColor="background1"/>
              </w:rPr>
            </w:pPr>
            <w:r>
              <w:rPr>
                <w:b/>
                <w:color w:val="FFFFFF" w:themeColor="background1"/>
              </w:rPr>
              <w:t>2017/18</w:t>
            </w:r>
          </w:p>
        </w:tc>
      </w:tr>
      <w:tr w:rsidR="00527F28" w:rsidRPr="00980D80" w:rsidTr="00527F28">
        <w:tc>
          <w:tcPr>
            <w:tcW w:w="3199" w:type="pct"/>
            <w:tcBorders>
              <w:top w:val="single" w:sz="18" w:space="0" w:color="auto"/>
              <w:bottom w:val="nil"/>
            </w:tcBorders>
            <w:noWrap/>
          </w:tcPr>
          <w:p w:rsidR="00527F28" w:rsidRPr="00980D80" w:rsidRDefault="00527F28" w:rsidP="00D302EF">
            <w:pPr>
              <w:rPr>
                <w:sz w:val="22"/>
              </w:rPr>
            </w:pPr>
          </w:p>
        </w:tc>
        <w:tc>
          <w:tcPr>
            <w:tcW w:w="901" w:type="pct"/>
            <w:tcBorders>
              <w:top w:val="single" w:sz="18" w:space="0" w:color="auto"/>
              <w:bottom w:val="nil"/>
            </w:tcBorders>
          </w:tcPr>
          <w:p w:rsidR="00527F28" w:rsidRPr="00980D80" w:rsidRDefault="00527F28" w:rsidP="00D302EF">
            <w:pPr>
              <w:jc w:val="right"/>
              <w:rPr>
                <w:i/>
                <w:sz w:val="22"/>
              </w:rPr>
            </w:pPr>
            <w:r w:rsidRPr="00980D80">
              <w:rPr>
                <w:i/>
                <w:sz w:val="22"/>
              </w:rPr>
              <w:t>£</w:t>
            </w:r>
          </w:p>
        </w:tc>
        <w:tc>
          <w:tcPr>
            <w:tcW w:w="900" w:type="pct"/>
            <w:tcBorders>
              <w:top w:val="single" w:sz="18" w:space="0" w:color="auto"/>
              <w:bottom w:val="nil"/>
            </w:tcBorders>
          </w:tcPr>
          <w:p w:rsidR="00527F28" w:rsidRPr="00EC1D88" w:rsidRDefault="00527F28" w:rsidP="00D302EF">
            <w:pPr>
              <w:jc w:val="right"/>
              <w:rPr>
                <w:i/>
                <w:sz w:val="22"/>
              </w:rPr>
            </w:pPr>
            <w:r w:rsidRPr="00EC1D88">
              <w:rPr>
                <w:i/>
                <w:sz w:val="22"/>
              </w:rPr>
              <w:t>£</w:t>
            </w:r>
          </w:p>
        </w:tc>
      </w:tr>
      <w:tr w:rsidR="00527F28" w:rsidRPr="00980D80" w:rsidTr="00527F28">
        <w:tc>
          <w:tcPr>
            <w:tcW w:w="3199" w:type="pct"/>
            <w:noWrap/>
          </w:tcPr>
          <w:p w:rsidR="00527F28" w:rsidRPr="00980D80" w:rsidRDefault="00527F28" w:rsidP="00D302EF">
            <w:pPr>
              <w:rPr>
                <w:b w:val="0"/>
                <w:sz w:val="22"/>
              </w:rPr>
            </w:pPr>
            <w:r>
              <w:rPr>
                <w:b w:val="0"/>
                <w:sz w:val="22"/>
              </w:rPr>
              <w:t>Prepayments and Accrued Income</w:t>
            </w:r>
          </w:p>
        </w:tc>
        <w:tc>
          <w:tcPr>
            <w:tcW w:w="901" w:type="pct"/>
          </w:tcPr>
          <w:p w:rsidR="00527F28" w:rsidRPr="00980D80" w:rsidRDefault="00E402B8" w:rsidP="00D302EF">
            <w:pPr>
              <w:pStyle w:val="DecimalAligned"/>
              <w:jc w:val="right"/>
            </w:pPr>
            <w:r>
              <w:t>221,901</w:t>
            </w:r>
          </w:p>
        </w:tc>
        <w:tc>
          <w:tcPr>
            <w:tcW w:w="900" w:type="pct"/>
          </w:tcPr>
          <w:p w:rsidR="00527F28" w:rsidRPr="00980D80" w:rsidRDefault="00527F28" w:rsidP="00D302EF">
            <w:pPr>
              <w:pStyle w:val="DecimalAligned"/>
              <w:jc w:val="right"/>
            </w:pPr>
            <w:r>
              <w:t>113,020</w:t>
            </w:r>
          </w:p>
        </w:tc>
      </w:tr>
      <w:tr w:rsidR="00527F28" w:rsidRPr="00980D80" w:rsidTr="00527F28">
        <w:tc>
          <w:tcPr>
            <w:tcW w:w="3199" w:type="pct"/>
            <w:noWrap/>
          </w:tcPr>
          <w:p w:rsidR="00527F28" w:rsidRDefault="00527F28" w:rsidP="00D302EF">
            <w:pPr>
              <w:rPr>
                <w:b w:val="0"/>
                <w:sz w:val="22"/>
              </w:rPr>
            </w:pPr>
            <w:r>
              <w:rPr>
                <w:b w:val="0"/>
                <w:sz w:val="22"/>
              </w:rPr>
              <w:t>Other Receivables</w:t>
            </w:r>
          </w:p>
        </w:tc>
        <w:tc>
          <w:tcPr>
            <w:tcW w:w="901" w:type="pct"/>
          </w:tcPr>
          <w:p w:rsidR="00527F28" w:rsidRDefault="00527F28" w:rsidP="00D302EF">
            <w:pPr>
              <w:pStyle w:val="DecimalAligned"/>
              <w:jc w:val="right"/>
            </w:pPr>
            <w:r>
              <w:t>73,234</w:t>
            </w:r>
          </w:p>
        </w:tc>
        <w:tc>
          <w:tcPr>
            <w:tcW w:w="900" w:type="pct"/>
          </w:tcPr>
          <w:p w:rsidR="00527F28" w:rsidRDefault="00527F28" w:rsidP="00D302EF">
            <w:pPr>
              <w:pStyle w:val="DecimalAligned"/>
              <w:jc w:val="right"/>
            </w:pPr>
            <w:r>
              <w:t>6,000</w:t>
            </w:r>
          </w:p>
        </w:tc>
      </w:tr>
      <w:tr w:rsidR="00527F28" w:rsidRPr="00980D80" w:rsidTr="00527F28">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527F28" w:rsidRPr="00980D80" w:rsidRDefault="00CC4C39" w:rsidP="00D302EF">
            <w:pPr>
              <w:rPr>
                <w:sz w:val="22"/>
              </w:rPr>
            </w:pPr>
            <w:r>
              <w:rPr>
                <w:sz w:val="22"/>
              </w:rPr>
              <w:t>Trade and Other Receivables</w:t>
            </w:r>
          </w:p>
        </w:tc>
        <w:tc>
          <w:tcPr>
            <w:tcW w:w="901" w:type="pct"/>
            <w:tcBorders>
              <w:top w:val="single" w:sz="12" w:space="0" w:color="auto"/>
              <w:bottom w:val="nil"/>
            </w:tcBorders>
          </w:tcPr>
          <w:p w:rsidR="00527F28" w:rsidRPr="00980D80" w:rsidRDefault="00527F28" w:rsidP="00D302EF">
            <w:pPr>
              <w:pStyle w:val="DecimalAligned"/>
              <w:jc w:val="right"/>
              <w:rPr>
                <w:b/>
              </w:rPr>
            </w:pPr>
            <w:r>
              <w:rPr>
                <w:b/>
              </w:rPr>
              <w:t>295,135</w:t>
            </w:r>
          </w:p>
        </w:tc>
        <w:tc>
          <w:tcPr>
            <w:tcW w:w="900" w:type="pct"/>
            <w:tcBorders>
              <w:top w:val="single" w:sz="12" w:space="0" w:color="auto"/>
              <w:bottom w:val="nil"/>
            </w:tcBorders>
          </w:tcPr>
          <w:p w:rsidR="00527F28" w:rsidRPr="00980D80" w:rsidRDefault="00527F28" w:rsidP="00D302EF">
            <w:pPr>
              <w:pStyle w:val="DecimalAligned"/>
              <w:jc w:val="right"/>
              <w:rPr>
                <w:b/>
              </w:rPr>
            </w:pPr>
            <w:r>
              <w:rPr>
                <w:b/>
              </w:rPr>
              <w:t>119,020</w:t>
            </w:r>
          </w:p>
        </w:tc>
      </w:tr>
    </w:tbl>
    <w:p w:rsidR="00527F28" w:rsidRPr="00527F28" w:rsidRDefault="00527F28" w:rsidP="00527F28">
      <w:pPr>
        <w:rPr>
          <w:rFonts w:cstheme="minorHAnsi"/>
          <w:szCs w:val="28"/>
        </w:rPr>
      </w:pP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p>
    <w:p w:rsidR="00CC4C39" w:rsidRDefault="00CC4C39" w:rsidP="00CC4C39">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t>Trade and Other Payables</w:t>
      </w:r>
    </w:p>
    <w:p w:rsidR="00CC4C39" w:rsidRDefault="00CC4C39" w:rsidP="00CC4C39">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CC4C39"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CC4C39" w:rsidRPr="000349B6" w:rsidRDefault="00CC4C39" w:rsidP="00D302EF">
            <w:pPr>
              <w:rPr>
                <w:b/>
                <w:color w:val="FFFFFF" w:themeColor="background1"/>
              </w:rPr>
            </w:pPr>
          </w:p>
        </w:tc>
        <w:tc>
          <w:tcPr>
            <w:tcW w:w="901" w:type="pct"/>
            <w:shd w:val="clear" w:color="auto" w:fill="0070C0"/>
          </w:tcPr>
          <w:p w:rsidR="00CC4C39" w:rsidRPr="000349B6" w:rsidRDefault="00CC4C39" w:rsidP="00D302EF">
            <w:pPr>
              <w:jc w:val="right"/>
              <w:rPr>
                <w:b/>
                <w:color w:val="FFFFFF" w:themeColor="background1"/>
              </w:rPr>
            </w:pPr>
            <w:r>
              <w:rPr>
                <w:b/>
                <w:color w:val="FFFFFF" w:themeColor="background1"/>
              </w:rPr>
              <w:t>2018/19</w:t>
            </w:r>
          </w:p>
        </w:tc>
        <w:tc>
          <w:tcPr>
            <w:tcW w:w="900" w:type="pct"/>
            <w:shd w:val="clear" w:color="auto" w:fill="0070C0"/>
          </w:tcPr>
          <w:p w:rsidR="00CC4C39" w:rsidRPr="000349B6" w:rsidRDefault="00CC4C39" w:rsidP="00D302EF">
            <w:pPr>
              <w:jc w:val="center"/>
              <w:rPr>
                <w:b/>
                <w:color w:val="FFFFFF" w:themeColor="background1"/>
              </w:rPr>
            </w:pPr>
            <w:r>
              <w:rPr>
                <w:b/>
                <w:color w:val="FFFFFF" w:themeColor="background1"/>
              </w:rPr>
              <w:t>2017/18</w:t>
            </w:r>
          </w:p>
        </w:tc>
      </w:tr>
      <w:tr w:rsidR="00CC4C39" w:rsidRPr="00980D80" w:rsidTr="00D302EF">
        <w:tc>
          <w:tcPr>
            <w:tcW w:w="3199" w:type="pct"/>
            <w:tcBorders>
              <w:top w:val="single" w:sz="18" w:space="0" w:color="auto"/>
              <w:bottom w:val="nil"/>
            </w:tcBorders>
            <w:noWrap/>
          </w:tcPr>
          <w:p w:rsidR="00CC4C39" w:rsidRPr="00980D80" w:rsidRDefault="00CC4C39" w:rsidP="00D302EF">
            <w:pPr>
              <w:rPr>
                <w:sz w:val="22"/>
              </w:rPr>
            </w:pPr>
          </w:p>
        </w:tc>
        <w:tc>
          <w:tcPr>
            <w:tcW w:w="901" w:type="pct"/>
            <w:tcBorders>
              <w:top w:val="single" w:sz="18" w:space="0" w:color="auto"/>
              <w:bottom w:val="nil"/>
            </w:tcBorders>
          </w:tcPr>
          <w:p w:rsidR="00CC4C39" w:rsidRPr="00980D80" w:rsidRDefault="00CC4C39" w:rsidP="00D302EF">
            <w:pPr>
              <w:jc w:val="right"/>
              <w:rPr>
                <w:i/>
                <w:sz w:val="22"/>
              </w:rPr>
            </w:pPr>
            <w:r w:rsidRPr="00980D80">
              <w:rPr>
                <w:i/>
                <w:sz w:val="22"/>
              </w:rPr>
              <w:t>£</w:t>
            </w:r>
          </w:p>
        </w:tc>
        <w:tc>
          <w:tcPr>
            <w:tcW w:w="900" w:type="pct"/>
            <w:tcBorders>
              <w:top w:val="single" w:sz="18" w:space="0" w:color="auto"/>
              <w:bottom w:val="nil"/>
            </w:tcBorders>
          </w:tcPr>
          <w:p w:rsidR="00CC4C39" w:rsidRPr="00EC1D88" w:rsidRDefault="00CC4C39" w:rsidP="00D302EF">
            <w:pPr>
              <w:jc w:val="right"/>
              <w:rPr>
                <w:i/>
                <w:sz w:val="22"/>
              </w:rPr>
            </w:pPr>
            <w:r w:rsidRPr="00EC1D88">
              <w:rPr>
                <w:i/>
                <w:sz w:val="22"/>
              </w:rPr>
              <w:t>£</w:t>
            </w:r>
          </w:p>
        </w:tc>
      </w:tr>
      <w:tr w:rsidR="00CC4C39" w:rsidRPr="00980D80" w:rsidTr="00D302EF">
        <w:tc>
          <w:tcPr>
            <w:tcW w:w="3199" w:type="pct"/>
            <w:noWrap/>
          </w:tcPr>
          <w:p w:rsidR="00CC4C39" w:rsidRPr="00980D80" w:rsidRDefault="00AE498E" w:rsidP="00D302EF">
            <w:pPr>
              <w:rPr>
                <w:b w:val="0"/>
                <w:sz w:val="22"/>
              </w:rPr>
            </w:pPr>
            <w:r>
              <w:rPr>
                <w:b w:val="0"/>
                <w:sz w:val="22"/>
              </w:rPr>
              <w:t>Trade Creditors and Accrued Expenditure</w:t>
            </w:r>
          </w:p>
        </w:tc>
        <w:tc>
          <w:tcPr>
            <w:tcW w:w="901" w:type="pct"/>
          </w:tcPr>
          <w:p w:rsidR="00CC4C39" w:rsidRPr="00980D80" w:rsidRDefault="00CC4C39" w:rsidP="00D302EF">
            <w:pPr>
              <w:pStyle w:val="DecimalAligned"/>
              <w:jc w:val="right"/>
            </w:pPr>
            <w:r>
              <w:t>447,940</w:t>
            </w:r>
          </w:p>
        </w:tc>
        <w:tc>
          <w:tcPr>
            <w:tcW w:w="900" w:type="pct"/>
          </w:tcPr>
          <w:p w:rsidR="00CC4C39" w:rsidRPr="00980D80" w:rsidRDefault="00CC4C39" w:rsidP="00D302EF">
            <w:pPr>
              <w:pStyle w:val="DecimalAligned"/>
              <w:jc w:val="right"/>
            </w:pPr>
            <w:r>
              <w:t>666,306</w:t>
            </w:r>
          </w:p>
        </w:tc>
      </w:tr>
      <w:tr w:rsidR="00CC4C39" w:rsidRPr="00980D80" w:rsidTr="00D302EF">
        <w:tc>
          <w:tcPr>
            <w:tcW w:w="3199" w:type="pct"/>
            <w:noWrap/>
          </w:tcPr>
          <w:p w:rsidR="00CC4C39" w:rsidRDefault="00CC4C39" w:rsidP="00D302EF">
            <w:pPr>
              <w:rPr>
                <w:b w:val="0"/>
                <w:sz w:val="22"/>
              </w:rPr>
            </w:pPr>
            <w:r>
              <w:rPr>
                <w:b w:val="0"/>
                <w:sz w:val="22"/>
              </w:rPr>
              <w:t>Other Payables</w:t>
            </w:r>
          </w:p>
        </w:tc>
        <w:tc>
          <w:tcPr>
            <w:tcW w:w="901" w:type="pct"/>
          </w:tcPr>
          <w:p w:rsidR="00CC4C39" w:rsidRDefault="00CC4C39" w:rsidP="00D302EF">
            <w:pPr>
              <w:pStyle w:val="DecimalAligned"/>
              <w:jc w:val="right"/>
            </w:pPr>
            <w:r>
              <w:t>2,141,542</w:t>
            </w:r>
          </w:p>
        </w:tc>
        <w:tc>
          <w:tcPr>
            <w:tcW w:w="900" w:type="pct"/>
          </w:tcPr>
          <w:p w:rsidR="00CC4C39" w:rsidRDefault="00CC4C39" w:rsidP="00D302EF">
            <w:pPr>
              <w:pStyle w:val="DecimalAligned"/>
              <w:jc w:val="right"/>
            </w:pPr>
            <w:r>
              <w:t>35,860</w:t>
            </w:r>
          </w:p>
        </w:tc>
      </w:tr>
      <w:tr w:rsidR="00CC4C39" w:rsidRPr="00980D80" w:rsidTr="00D302EF">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CC4C39" w:rsidRPr="00980D80" w:rsidRDefault="00CC4C39" w:rsidP="00D302EF">
            <w:pPr>
              <w:rPr>
                <w:sz w:val="22"/>
              </w:rPr>
            </w:pPr>
            <w:r>
              <w:rPr>
                <w:sz w:val="22"/>
              </w:rPr>
              <w:t>Trade and Other Payables</w:t>
            </w:r>
          </w:p>
        </w:tc>
        <w:tc>
          <w:tcPr>
            <w:tcW w:w="901" w:type="pct"/>
            <w:tcBorders>
              <w:top w:val="single" w:sz="12" w:space="0" w:color="auto"/>
              <w:bottom w:val="nil"/>
            </w:tcBorders>
          </w:tcPr>
          <w:p w:rsidR="00CC4C39" w:rsidRPr="00980D80" w:rsidRDefault="00CC4C39" w:rsidP="00D302EF">
            <w:pPr>
              <w:pStyle w:val="DecimalAligned"/>
              <w:jc w:val="right"/>
              <w:rPr>
                <w:b/>
              </w:rPr>
            </w:pPr>
            <w:r>
              <w:rPr>
                <w:b/>
              </w:rPr>
              <w:t>2,589,482</w:t>
            </w:r>
          </w:p>
        </w:tc>
        <w:tc>
          <w:tcPr>
            <w:tcW w:w="900" w:type="pct"/>
            <w:tcBorders>
              <w:top w:val="single" w:sz="12" w:space="0" w:color="auto"/>
              <w:bottom w:val="nil"/>
            </w:tcBorders>
          </w:tcPr>
          <w:p w:rsidR="00CC4C39" w:rsidRPr="00980D80" w:rsidRDefault="00CC4C39" w:rsidP="00D302EF">
            <w:pPr>
              <w:pStyle w:val="DecimalAligned"/>
              <w:jc w:val="right"/>
              <w:rPr>
                <w:b/>
              </w:rPr>
            </w:pPr>
            <w:r>
              <w:rPr>
                <w:b/>
              </w:rPr>
              <w:t>702,166</w:t>
            </w:r>
          </w:p>
        </w:tc>
      </w:tr>
    </w:tbl>
    <w:p w:rsidR="00AE498E" w:rsidRDefault="00AE498E" w:rsidP="00AE498E">
      <w:pPr>
        <w:pStyle w:val="ListParagraph"/>
        <w:ind w:left="720"/>
        <w:rPr>
          <w:rFonts w:asciiTheme="minorHAnsi" w:hAnsiTheme="minorHAnsi" w:cstheme="minorHAnsi"/>
          <w:sz w:val="28"/>
          <w:szCs w:val="28"/>
        </w:rPr>
      </w:pPr>
    </w:p>
    <w:p w:rsidR="00AE498E" w:rsidRDefault="00AE498E" w:rsidP="00AE498E">
      <w:pPr>
        <w:pStyle w:val="ListParagraph"/>
        <w:ind w:left="720"/>
        <w:rPr>
          <w:rFonts w:asciiTheme="minorHAnsi" w:hAnsiTheme="minorHAnsi" w:cstheme="minorHAnsi"/>
          <w:sz w:val="28"/>
          <w:szCs w:val="28"/>
        </w:rPr>
      </w:pPr>
    </w:p>
    <w:p w:rsidR="00AE498E" w:rsidRDefault="00AE498E" w:rsidP="00AE498E">
      <w:pPr>
        <w:pStyle w:val="ListParagraph"/>
        <w:ind w:left="720"/>
        <w:rPr>
          <w:rFonts w:asciiTheme="minorHAnsi" w:hAnsiTheme="minorHAnsi" w:cstheme="minorHAnsi"/>
          <w:sz w:val="28"/>
          <w:szCs w:val="28"/>
        </w:rPr>
      </w:pPr>
    </w:p>
    <w:p w:rsidR="00AE498E" w:rsidRDefault="00AE498E" w:rsidP="00AE498E">
      <w:pPr>
        <w:pStyle w:val="ListParagraph"/>
        <w:ind w:left="720"/>
        <w:rPr>
          <w:rFonts w:asciiTheme="minorHAnsi" w:hAnsiTheme="minorHAnsi" w:cstheme="minorHAnsi"/>
          <w:sz w:val="28"/>
          <w:szCs w:val="28"/>
        </w:rPr>
      </w:pPr>
    </w:p>
    <w:p w:rsidR="00AE498E" w:rsidRPr="00AE498E" w:rsidRDefault="00AE498E" w:rsidP="00AE498E">
      <w:pPr>
        <w:pStyle w:val="ListParagraph"/>
        <w:ind w:left="720"/>
        <w:rPr>
          <w:rFonts w:asciiTheme="minorHAnsi" w:hAnsiTheme="minorHAnsi" w:cstheme="minorHAnsi"/>
          <w:sz w:val="28"/>
          <w:szCs w:val="28"/>
        </w:rPr>
      </w:pPr>
    </w:p>
    <w:p w:rsidR="00AE498E" w:rsidRPr="00AE498E" w:rsidRDefault="00AE498E" w:rsidP="00AE498E">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lastRenderedPageBreak/>
        <w:t>Non-Current Liabilities</w:t>
      </w:r>
    </w:p>
    <w:p w:rsidR="00AE498E" w:rsidRDefault="00AE498E" w:rsidP="00AE498E">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AE498E"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AE498E" w:rsidRPr="000349B6" w:rsidRDefault="00AE498E" w:rsidP="00D302EF">
            <w:pPr>
              <w:rPr>
                <w:b/>
                <w:color w:val="FFFFFF" w:themeColor="background1"/>
              </w:rPr>
            </w:pPr>
          </w:p>
        </w:tc>
        <w:tc>
          <w:tcPr>
            <w:tcW w:w="901" w:type="pct"/>
            <w:shd w:val="clear" w:color="auto" w:fill="0070C0"/>
          </w:tcPr>
          <w:p w:rsidR="00AE498E" w:rsidRPr="000349B6" w:rsidRDefault="00AE498E" w:rsidP="00D302EF">
            <w:pPr>
              <w:jc w:val="right"/>
              <w:rPr>
                <w:b/>
                <w:color w:val="FFFFFF" w:themeColor="background1"/>
              </w:rPr>
            </w:pPr>
            <w:r>
              <w:rPr>
                <w:b/>
                <w:color w:val="FFFFFF" w:themeColor="background1"/>
              </w:rPr>
              <w:t>2018/19</w:t>
            </w:r>
          </w:p>
        </w:tc>
        <w:tc>
          <w:tcPr>
            <w:tcW w:w="900" w:type="pct"/>
            <w:shd w:val="clear" w:color="auto" w:fill="0070C0"/>
          </w:tcPr>
          <w:p w:rsidR="00AE498E" w:rsidRPr="000349B6" w:rsidRDefault="00AE498E" w:rsidP="00D302EF">
            <w:pPr>
              <w:jc w:val="center"/>
              <w:rPr>
                <w:b/>
                <w:color w:val="FFFFFF" w:themeColor="background1"/>
              </w:rPr>
            </w:pPr>
            <w:r>
              <w:rPr>
                <w:b/>
                <w:color w:val="FFFFFF" w:themeColor="background1"/>
              </w:rPr>
              <w:t>2017/18</w:t>
            </w:r>
          </w:p>
        </w:tc>
      </w:tr>
      <w:tr w:rsidR="00AE498E" w:rsidRPr="00980D80" w:rsidTr="00D302EF">
        <w:tc>
          <w:tcPr>
            <w:tcW w:w="3199" w:type="pct"/>
            <w:tcBorders>
              <w:top w:val="single" w:sz="18" w:space="0" w:color="auto"/>
              <w:bottom w:val="nil"/>
            </w:tcBorders>
            <w:noWrap/>
          </w:tcPr>
          <w:p w:rsidR="00AE498E" w:rsidRPr="00980D80" w:rsidRDefault="00AE498E" w:rsidP="00D302EF">
            <w:pPr>
              <w:rPr>
                <w:sz w:val="22"/>
              </w:rPr>
            </w:pPr>
          </w:p>
        </w:tc>
        <w:tc>
          <w:tcPr>
            <w:tcW w:w="901" w:type="pct"/>
            <w:tcBorders>
              <w:top w:val="single" w:sz="18" w:space="0" w:color="auto"/>
              <w:bottom w:val="nil"/>
            </w:tcBorders>
          </w:tcPr>
          <w:p w:rsidR="00AE498E" w:rsidRPr="00980D80" w:rsidRDefault="00AE498E" w:rsidP="00D302EF">
            <w:pPr>
              <w:jc w:val="right"/>
              <w:rPr>
                <w:i/>
                <w:sz w:val="22"/>
              </w:rPr>
            </w:pPr>
            <w:r w:rsidRPr="00980D80">
              <w:rPr>
                <w:i/>
                <w:sz w:val="22"/>
              </w:rPr>
              <w:t>£</w:t>
            </w:r>
          </w:p>
        </w:tc>
        <w:tc>
          <w:tcPr>
            <w:tcW w:w="900" w:type="pct"/>
            <w:tcBorders>
              <w:top w:val="single" w:sz="18" w:space="0" w:color="auto"/>
              <w:bottom w:val="nil"/>
            </w:tcBorders>
          </w:tcPr>
          <w:p w:rsidR="00AE498E" w:rsidRPr="00EC1D88" w:rsidRDefault="00AE498E" w:rsidP="00D302EF">
            <w:pPr>
              <w:jc w:val="right"/>
              <w:rPr>
                <w:i/>
                <w:sz w:val="22"/>
              </w:rPr>
            </w:pPr>
            <w:r w:rsidRPr="00EC1D88">
              <w:rPr>
                <w:i/>
                <w:sz w:val="22"/>
              </w:rPr>
              <w:t>£</w:t>
            </w:r>
          </w:p>
        </w:tc>
      </w:tr>
      <w:tr w:rsidR="00AE498E" w:rsidRPr="00980D80" w:rsidTr="00D302EF">
        <w:tc>
          <w:tcPr>
            <w:tcW w:w="3199" w:type="pct"/>
            <w:noWrap/>
          </w:tcPr>
          <w:p w:rsidR="00AE498E" w:rsidRPr="00980D80" w:rsidRDefault="00A05BFE" w:rsidP="00D302EF">
            <w:pPr>
              <w:rPr>
                <w:b w:val="0"/>
                <w:sz w:val="22"/>
              </w:rPr>
            </w:pPr>
            <w:r>
              <w:rPr>
                <w:b w:val="0"/>
                <w:sz w:val="22"/>
              </w:rPr>
              <w:t>Long Term Loans</w:t>
            </w:r>
          </w:p>
        </w:tc>
        <w:tc>
          <w:tcPr>
            <w:tcW w:w="901" w:type="pct"/>
          </w:tcPr>
          <w:p w:rsidR="00AE498E" w:rsidRPr="00980D80" w:rsidRDefault="00AE498E" w:rsidP="00D302EF">
            <w:pPr>
              <w:pStyle w:val="DecimalAligned"/>
              <w:jc w:val="right"/>
            </w:pPr>
            <w:r>
              <w:t>4,326,670</w:t>
            </w:r>
          </w:p>
        </w:tc>
        <w:tc>
          <w:tcPr>
            <w:tcW w:w="900" w:type="pct"/>
          </w:tcPr>
          <w:p w:rsidR="00AE498E" w:rsidRPr="00980D80" w:rsidRDefault="00AE498E" w:rsidP="00D302EF">
            <w:pPr>
              <w:pStyle w:val="DecimalAligned"/>
              <w:jc w:val="right"/>
            </w:pPr>
            <w:r>
              <w:t>1,053,606</w:t>
            </w:r>
          </w:p>
        </w:tc>
      </w:tr>
      <w:tr w:rsidR="00AE498E" w:rsidRPr="00980D80" w:rsidTr="00D302EF">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AE498E" w:rsidRPr="00980D80" w:rsidRDefault="00AE498E" w:rsidP="00D302EF">
            <w:pPr>
              <w:rPr>
                <w:sz w:val="22"/>
              </w:rPr>
            </w:pPr>
            <w:r>
              <w:rPr>
                <w:sz w:val="22"/>
              </w:rPr>
              <w:t>Non-Current Liabilities</w:t>
            </w:r>
          </w:p>
        </w:tc>
        <w:tc>
          <w:tcPr>
            <w:tcW w:w="901" w:type="pct"/>
            <w:tcBorders>
              <w:top w:val="single" w:sz="12" w:space="0" w:color="auto"/>
              <w:bottom w:val="nil"/>
            </w:tcBorders>
          </w:tcPr>
          <w:p w:rsidR="00AE498E" w:rsidRPr="00980D80" w:rsidRDefault="00AE498E" w:rsidP="00D302EF">
            <w:pPr>
              <w:pStyle w:val="DecimalAligned"/>
              <w:jc w:val="right"/>
              <w:rPr>
                <w:b/>
              </w:rPr>
            </w:pPr>
            <w:r>
              <w:rPr>
                <w:b/>
              </w:rPr>
              <w:t>4,326,670</w:t>
            </w:r>
          </w:p>
        </w:tc>
        <w:tc>
          <w:tcPr>
            <w:tcW w:w="900" w:type="pct"/>
            <w:tcBorders>
              <w:top w:val="single" w:sz="12" w:space="0" w:color="auto"/>
              <w:bottom w:val="nil"/>
            </w:tcBorders>
          </w:tcPr>
          <w:p w:rsidR="00AE498E" w:rsidRPr="00980D80" w:rsidRDefault="00AE498E" w:rsidP="00D302EF">
            <w:pPr>
              <w:pStyle w:val="DecimalAligned"/>
              <w:jc w:val="right"/>
              <w:rPr>
                <w:b/>
              </w:rPr>
            </w:pPr>
            <w:r>
              <w:rPr>
                <w:b/>
              </w:rPr>
              <w:t>1,053,606</w:t>
            </w:r>
          </w:p>
        </w:tc>
      </w:tr>
    </w:tbl>
    <w:p w:rsidR="00527F28" w:rsidRPr="00527F28" w:rsidRDefault="00527F28" w:rsidP="00527F28">
      <w:pPr>
        <w:pStyle w:val="ListParagraph"/>
        <w:rPr>
          <w:rFonts w:asciiTheme="minorHAnsi" w:hAnsiTheme="minorHAnsi" w:cstheme="minorHAnsi"/>
          <w:sz w:val="28"/>
          <w:szCs w:val="28"/>
        </w:rPr>
      </w:pPr>
    </w:p>
    <w:p w:rsidR="009F2903" w:rsidRPr="00AE498E" w:rsidRDefault="009F2903" w:rsidP="009F2903">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t>Rent Receivables</w:t>
      </w:r>
    </w:p>
    <w:p w:rsidR="009F2903" w:rsidRDefault="009F2903" w:rsidP="009F2903">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9F2903"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9F2903" w:rsidRPr="000349B6" w:rsidRDefault="009F2903" w:rsidP="00D302EF">
            <w:pPr>
              <w:rPr>
                <w:b/>
                <w:color w:val="FFFFFF" w:themeColor="background1"/>
              </w:rPr>
            </w:pPr>
          </w:p>
        </w:tc>
        <w:tc>
          <w:tcPr>
            <w:tcW w:w="901" w:type="pct"/>
            <w:shd w:val="clear" w:color="auto" w:fill="0070C0"/>
          </w:tcPr>
          <w:p w:rsidR="009F2903" w:rsidRPr="000349B6" w:rsidRDefault="009F2903" w:rsidP="00D302EF">
            <w:pPr>
              <w:jc w:val="right"/>
              <w:rPr>
                <w:b/>
                <w:color w:val="FFFFFF" w:themeColor="background1"/>
              </w:rPr>
            </w:pPr>
            <w:r>
              <w:rPr>
                <w:b/>
                <w:color w:val="FFFFFF" w:themeColor="background1"/>
              </w:rPr>
              <w:t>2018/19</w:t>
            </w:r>
          </w:p>
        </w:tc>
        <w:tc>
          <w:tcPr>
            <w:tcW w:w="900" w:type="pct"/>
            <w:shd w:val="clear" w:color="auto" w:fill="0070C0"/>
          </w:tcPr>
          <w:p w:rsidR="009F2903" w:rsidRPr="000349B6" w:rsidRDefault="009F2903" w:rsidP="00D302EF">
            <w:pPr>
              <w:jc w:val="center"/>
              <w:rPr>
                <w:b/>
                <w:color w:val="FFFFFF" w:themeColor="background1"/>
              </w:rPr>
            </w:pPr>
            <w:r>
              <w:rPr>
                <w:b/>
                <w:color w:val="FFFFFF" w:themeColor="background1"/>
              </w:rPr>
              <w:t>2017/18</w:t>
            </w:r>
          </w:p>
        </w:tc>
      </w:tr>
      <w:tr w:rsidR="009F2903" w:rsidRPr="00980D80" w:rsidTr="00D302EF">
        <w:tc>
          <w:tcPr>
            <w:tcW w:w="3199" w:type="pct"/>
            <w:tcBorders>
              <w:top w:val="single" w:sz="18" w:space="0" w:color="auto"/>
              <w:bottom w:val="nil"/>
            </w:tcBorders>
            <w:noWrap/>
          </w:tcPr>
          <w:p w:rsidR="009F2903" w:rsidRPr="00980D80" w:rsidRDefault="009F2903" w:rsidP="00D302EF">
            <w:pPr>
              <w:rPr>
                <w:sz w:val="22"/>
              </w:rPr>
            </w:pPr>
          </w:p>
        </w:tc>
        <w:tc>
          <w:tcPr>
            <w:tcW w:w="901" w:type="pct"/>
            <w:tcBorders>
              <w:top w:val="single" w:sz="18" w:space="0" w:color="auto"/>
              <w:bottom w:val="nil"/>
            </w:tcBorders>
          </w:tcPr>
          <w:p w:rsidR="009F2903" w:rsidRPr="00980D80" w:rsidRDefault="009F2903" w:rsidP="00D302EF">
            <w:pPr>
              <w:jc w:val="right"/>
              <w:rPr>
                <w:i/>
                <w:sz w:val="22"/>
              </w:rPr>
            </w:pPr>
            <w:r w:rsidRPr="00980D80">
              <w:rPr>
                <w:i/>
                <w:sz w:val="22"/>
              </w:rPr>
              <w:t>£</w:t>
            </w:r>
          </w:p>
        </w:tc>
        <w:tc>
          <w:tcPr>
            <w:tcW w:w="900" w:type="pct"/>
            <w:tcBorders>
              <w:top w:val="single" w:sz="18" w:space="0" w:color="auto"/>
              <w:bottom w:val="nil"/>
            </w:tcBorders>
          </w:tcPr>
          <w:p w:rsidR="009F2903" w:rsidRPr="00EC1D88" w:rsidRDefault="009F2903" w:rsidP="00D302EF">
            <w:pPr>
              <w:jc w:val="right"/>
              <w:rPr>
                <w:i/>
                <w:sz w:val="22"/>
              </w:rPr>
            </w:pPr>
            <w:r w:rsidRPr="00EC1D88">
              <w:rPr>
                <w:i/>
                <w:sz w:val="22"/>
              </w:rPr>
              <w:t>£</w:t>
            </w:r>
          </w:p>
        </w:tc>
      </w:tr>
      <w:tr w:rsidR="009F2903" w:rsidRPr="00980D80" w:rsidTr="00D302EF">
        <w:tc>
          <w:tcPr>
            <w:tcW w:w="3199" w:type="pct"/>
            <w:noWrap/>
          </w:tcPr>
          <w:p w:rsidR="009F2903" w:rsidRPr="00980D80" w:rsidRDefault="009F2903" w:rsidP="00D302EF">
            <w:pPr>
              <w:rPr>
                <w:b w:val="0"/>
                <w:sz w:val="22"/>
              </w:rPr>
            </w:pPr>
            <w:r>
              <w:rPr>
                <w:b w:val="0"/>
                <w:sz w:val="22"/>
              </w:rPr>
              <w:t>Rental Income</w:t>
            </w:r>
          </w:p>
        </w:tc>
        <w:tc>
          <w:tcPr>
            <w:tcW w:w="901" w:type="pct"/>
          </w:tcPr>
          <w:p w:rsidR="009F2903" w:rsidRPr="00980D80" w:rsidRDefault="009F2903" w:rsidP="00D302EF">
            <w:pPr>
              <w:pStyle w:val="DecimalAligned"/>
              <w:jc w:val="right"/>
            </w:pPr>
            <w:r>
              <w:t>97,488</w:t>
            </w:r>
          </w:p>
        </w:tc>
        <w:tc>
          <w:tcPr>
            <w:tcW w:w="900" w:type="pct"/>
          </w:tcPr>
          <w:p w:rsidR="009F2903" w:rsidRPr="00980D80" w:rsidRDefault="009F2903" w:rsidP="00D302EF">
            <w:pPr>
              <w:pStyle w:val="DecimalAligned"/>
              <w:jc w:val="right"/>
            </w:pPr>
            <w:r>
              <w:t>52,796</w:t>
            </w:r>
          </w:p>
        </w:tc>
      </w:tr>
      <w:tr w:rsidR="009F2903" w:rsidRPr="00980D80" w:rsidTr="00D302EF">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9F2903" w:rsidRPr="00980D80" w:rsidRDefault="009F2903" w:rsidP="00D302EF">
            <w:pPr>
              <w:rPr>
                <w:sz w:val="22"/>
              </w:rPr>
            </w:pPr>
            <w:r>
              <w:rPr>
                <w:sz w:val="22"/>
              </w:rPr>
              <w:t>Rent Receivables</w:t>
            </w:r>
          </w:p>
        </w:tc>
        <w:tc>
          <w:tcPr>
            <w:tcW w:w="901" w:type="pct"/>
            <w:tcBorders>
              <w:top w:val="single" w:sz="12" w:space="0" w:color="auto"/>
              <w:bottom w:val="nil"/>
            </w:tcBorders>
          </w:tcPr>
          <w:p w:rsidR="009F2903" w:rsidRPr="00980D80" w:rsidRDefault="009F2903" w:rsidP="00D302EF">
            <w:pPr>
              <w:pStyle w:val="DecimalAligned"/>
              <w:jc w:val="right"/>
              <w:rPr>
                <w:b/>
              </w:rPr>
            </w:pPr>
            <w:r>
              <w:rPr>
                <w:b/>
              </w:rPr>
              <w:t>97,488</w:t>
            </w:r>
          </w:p>
        </w:tc>
        <w:tc>
          <w:tcPr>
            <w:tcW w:w="900" w:type="pct"/>
            <w:tcBorders>
              <w:top w:val="single" w:sz="12" w:space="0" w:color="auto"/>
              <w:bottom w:val="nil"/>
            </w:tcBorders>
          </w:tcPr>
          <w:p w:rsidR="009F2903" w:rsidRPr="00980D80" w:rsidRDefault="009F2903" w:rsidP="00D302EF">
            <w:pPr>
              <w:pStyle w:val="DecimalAligned"/>
              <w:jc w:val="right"/>
              <w:rPr>
                <w:b/>
              </w:rPr>
            </w:pPr>
            <w:r>
              <w:rPr>
                <w:b/>
              </w:rPr>
              <w:t>52,796</w:t>
            </w:r>
          </w:p>
        </w:tc>
      </w:tr>
    </w:tbl>
    <w:p w:rsidR="009F2903" w:rsidRPr="00C07115" w:rsidRDefault="00712A58" w:rsidP="009F2903">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t>Administration Expenses</w:t>
      </w:r>
    </w:p>
    <w:p w:rsidR="009F2903" w:rsidRDefault="009F2903" w:rsidP="009F2903">
      <w:pPr>
        <w:pStyle w:val="ListParagraph"/>
        <w:ind w:left="720"/>
        <w:rPr>
          <w:rFonts w:asciiTheme="minorHAnsi" w:hAnsiTheme="minorHAnsi" w:cstheme="minorHAnsi"/>
          <w:sz w:val="28"/>
          <w:szCs w:val="28"/>
        </w:rPr>
      </w:pPr>
    </w:p>
    <w:tbl>
      <w:tblPr>
        <w:tblStyle w:val="MediumShading2-Accent5"/>
        <w:tblW w:w="4237" w:type="pct"/>
        <w:tblLook w:val="0660" w:firstRow="1" w:lastRow="1" w:firstColumn="0" w:lastColumn="0" w:noHBand="1" w:noVBand="1"/>
      </w:tblPr>
      <w:tblGrid>
        <w:gridCol w:w="5505"/>
        <w:gridCol w:w="1550"/>
        <w:gridCol w:w="1549"/>
      </w:tblGrid>
      <w:tr w:rsidR="009F2903"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9F2903" w:rsidRPr="000349B6" w:rsidRDefault="009F2903" w:rsidP="00D302EF">
            <w:pPr>
              <w:rPr>
                <w:b/>
                <w:color w:val="FFFFFF" w:themeColor="background1"/>
              </w:rPr>
            </w:pPr>
          </w:p>
        </w:tc>
        <w:tc>
          <w:tcPr>
            <w:tcW w:w="901" w:type="pct"/>
            <w:shd w:val="clear" w:color="auto" w:fill="0070C0"/>
          </w:tcPr>
          <w:p w:rsidR="009F2903" w:rsidRPr="000349B6" w:rsidRDefault="009F2903" w:rsidP="00D302EF">
            <w:pPr>
              <w:jc w:val="right"/>
              <w:rPr>
                <w:b/>
                <w:color w:val="FFFFFF" w:themeColor="background1"/>
              </w:rPr>
            </w:pPr>
            <w:r>
              <w:rPr>
                <w:b/>
                <w:color w:val="FFFFFF" w:themeColor="background1"/>
              </w:rPr>
              <w:t>2018/19</w:t>
            </w:r>
          </w:p>
        </w:tc>
        <w:tc>
          <w:tcPr>
            <w:tcW w:w="900" w:type="pct"/>
            <w:shd w:val="clear" w:color="auto" w:fill="0070C0"/>
          </w:tcPr>
          <w:p w:rsidR="009F2903" w:rsidRPr="000349B6" w:rsidRDefault="009F2903" w:rsidP="00D302EF">
            <w:pPr>
              <w:jc w:val="center"/>
              <w:rPr>
                <w:b/>
                <w:color w:val="FFFFFF" w:themeColor="background1"/>
              </w:rPr>
            </w:pPr>
            <w:r>
              <w:rPr>
                <w:b/>
                <w:color w:val="FFFFFF" w:themeColor="background1"/>
              </w:rPr>
              <w:t>2017/18</w:t>
            </w:r>
          </w:p>
        </w:tc>
      </w:tr>
      <w:tr w:rsidR="009F2903" w:rsidRPr="00980D80" w:rsidTr="00EE6156">
        <w:tc>
          <w:tcPr>
            <w:tcW w:w="3199" w:type="pct"/>
            <w:tcBorders>
              <w:top w:val="single" w:sz="18" w:space="0" w:color="auto"/>
              <w:bottom w:val="nil"/>
            </w:tcBorders>
            <w:noWrap/>
          </w:tcPr>
          <w:p w:rsidR="009F2903" w:rsidRPr="00980D80" w:rsidRDefault="009F2903" w:rsidP="00D302EF">
            <w:pPr>
              <w:rPr>
                <w:sz w:val="22"/>
              </w:rPr>
            </w:pPr>
          </w:p>
        </w:tc>
        <w:tc>
          <w:tcPr>
            <w:tcW w:w="901" w:type="pct"/>
            <w:tcBorders>
              <w:top w:val="single" w:sz="18" w:space="0" w:color="auto"/>
              <w:bottom w:val="nil"/>
            </w:tcBorders>
          </w:tcPr>
          <w:p w:rsidR="009F2903" w:rsidRPr="00980D80" w:rsidRDefault="009F2903" w:rsidP="00D302EF">
            <w:pPr>
              <w:jc w:val="right"/>
              <w:rPr>
                <w:i/>
                <w:sz w:val="22"/>
              </w:rPr>
            </w:pPr>
            <w:r w:rsidRPr="00980D80">
              <w:rPr>
                <w:i/>
                <w:sz w:val="22"/>
              </w:rPr>
              <w:t>£</w:t>
            </w:r>
          </w:p>
        </w:tc>
        <w:tc>
          <w:tcPr>
            <w:tcW w:w="900" w:type="pct"/>
            <w:tcBorders>
              <w:top w:val="single" w:sz="18" w:space="0" w:color="auto"/>
              <w:bottom w:val="nil"/>
            </w:tcBorders>
          </w:tcPr>
          <w:p w:rsidR="009F2903" w:rsidRPr="00EC1D88" w:rsidRDefault="009F2903" w:rsidP="00D302EF">
            <w:pPr>
              <w:jc w:val="right"/>
              <w:rPr>
                <w:i/>
                <w:sz w:val="22"/>
              </w:rPr>
            </w:pPr>
            <w:r w:rsidRPr="00EC1D88">
              <w:rPr>
                <w:i/>
                <w:sz w:val="22"/>
              </w:rPr>
              <w:t>£</w:t>
            </w:r>
          </w:p>
        </w:tc>
      </w:tr>
      <w:tr w:rsidR="009F2903" w:rsidRPr="00EC1D88" w:rsidTr="00EE6156">
        <w:tc>
          <w:tcPr>
            <w:tcW w:w="3199" w:type="pct"/>
            <w:tcBorders>
              <w:top w:val="nil"/>
              <w:bottom w:val="nil"/>
            </w:tcBorders>
            <w:noWrap/>
          </w:tcPr>
          <w:p w:rsidR="009F2903" w:rsidRPr="00EC1D88" w:rsidRDefault="00712A58" w:rsidP="00D302EF">
            <w:pPr>
              <w:rPr>
                <w:b w:val="0"/>
                <w:sz w:val="22"/>
              </w:rPr>
            </w:pPr>
            <w:r>
              <w:rPr>
                <w:b w:val="0"/>
                <w:sz w:val="22"/>
              </w:rPr>
              <w:t>Legal Fees/Services</w:t>
            </w:r>
          </w:p>
        </w:tc>
        <w:tc>
          <w:tcPr>
            <w:tcW w:w="901" w:type="pct"/>
            <w:tcBorders>
              <w:top w:val="nil"/>
              <w:bottom w:val="nil"/>
            </w:tcBorders>
          </w:tcPr>
          <w:p w:rsidR="009F2903" w:rsidRPr="00EC1D88" w:rsidRDefault="00A65441" w:rsidP="00D302EF">
            <w:pPr>
              <w:pStyle w:val="DecimalAligned"/>
              <w:jc w:val="right"/>
            </w:pPr>
            <w:r>
              <w:t>101,106</w:t>
            </w:r>
          </w:p>
        </w:tc>
        <w:tc>
          <w:tcPr>
            <w:tcW w:w="900" w:type="pct"/>
            <w:tcBorders>
              <w:top w:val="nil"/>
              <w:bottom w:val="nil"/>
            </w:tcBorders>
          </w:tcPr>
          <w:p w:rsidR="009F2903" w:rsidRPr="00EC1D88" w:rsidRDefault="00A65441" w:rsidP="00D302EF">
            <w:pPr>
              <w:pStyle w:val="DecimalAligned"/>
              <w:jc w:val="right"/>
            </w:pPr>
            <w:r>
              <w:t>14,217</w:t>
            </w:r>
          </w:p>
        </w:tc>
      </w:tr>
      <w:tr w:rsidR="009F2903" w:rsidRPr="00980D80" w:rsidTr="00EE6156">
        <w:tc>
          <w:tcPr>
            <w:tcW w:w="3199" w:type="pct"/>
            <w:noWrap/>
          </w:tcPr>
          <w:p w:rsidR="009F2903" w:rsidRPr="00980D80" w:rsidRDefault="00712A58" w:rsidP="00D302EF">
            <w:pPr>
              <w:rPr>
                <w:b w:val="0"/>
                <w:sz w:val="22"/>
              </w:rPr>
            </w:pPr>
            <w:r>
              <w:rPr>
                <w:b w:val="0"/>
                <w:sz w:val="22"/>
              </w:rPr>
              <w:t>Consultancy Fees</w:t>
            </w:r>
          </w:p>
        </w:tc>
        <w:tc>
          <w:tcPr>
            <w:tcW w:w="901" w:type="pct"/>
          </w:tcPr>
          <w:p w:rsidR="009F2903" w:rsidRPr="00980D80" w:rsidRDefault="00A65441" w:rsidP="00D302EF">
            <w:pPr>
              <w:pStyle w:val="DecimalAligned"/>
              <w:jc w:val="right"/>
            </w:pPr>
            <w:r>
              <w:t>66,115</w:t>
            </w:r>
          </w:p>
        </w:tc>
        <w:tc>
          <w:tcPr>
            <w:tcW w:w="900" w:type="pct"/>
          </w:tcPr>
          <w:p w:rsidR="009F2903" w:rsidRPr="00980D80" w:rsidRDefault="00A65441" w:rsidP="00D302EF">
            <w:pPr>
              <w:pStyle w:val="DecimalAligned"/>
              <w:jc w:val="right"/>
            </w:pPr>
            <w:r>
              <w:t>161,366</w:t>
            </w:r>
          </w:p>
        </w:tc>
      </w:tr>
      <w:tr w:rsidR="009F2903" w:rsidRPr="00980D80" w:rsidTr="00EE6156">
        <w:tc>
          <w:tcPr>
            <w:tcW w:w="3199" w:type="pct"/>
            <w:noWrap/>
          </w:tcPr>
          <w:p w:rsidR="009F2903" w:rsidRDefault="00712A58" w:rsidP="00D302EF">
            <w:pPr>
              <w:rPr>
                <w:b w:val="0"/>
                <w:sz w:val="22"/>
              </w:rPr>
            </w:pPr>
            <w:r>
              <w:rPr>
                <w:b w:val="0"/>
                <w:sz w:val="22"/>
              </w:rPr>
              <w:t>Financial Services (SLA)</w:t>
            </w:r>
          </w:p>
        </w:tc>
        <w:tc>
          <w:tcPr>
            <w:tcW w:w="901" w:type="pct"/>
          </w:tcPr>
          <w:p w:rsidR="009F2903" w:rsidRDefault="00A65441" w:rsidP="00D302EF">
            <w:pPr>
              <w:pStyle w:val="DecimalAligned"/>
              <w:jc w:val="right"/>
            </w:pPr>
            <w:r>
              <w:t>125,708</w:t>
            </w:r>
          </w:p>
        </w:tc>
        <w:tc>
          <w:tcPr>
            <w:tcW w:w="900" w:type="pct"/>
          </w:tcPr>
          <w:p w:rsidR="009F2903" w:rsidRDefault="00A65441" w:rsidP="00D302EF">
            <w:pPr>
              <w:pStyle w:val="DecimalAligned"/>
              <w:jc w:val="right"/>
            </w:pPr>
            <w:r>
              <w:t>92,115</w:t>
            </w:r>
          </w:p>
        </w:tc>
      </w:tr>
      <w:tr w:rsidR="009F2903" w:rsidRPr="00980D80" w:rsidTr="00EE6156">
        <w:tc>
          <w:tcPr>
            <w:tcW w:w="3199" w:type="pct"/>
            <w:noWrap/>
          </w:tcPr>
          <w:p w:rsidR="009F2903" w:rsidRDefault="00712A58" w:rsidP="00D302EF">
            <w:pPr>
              <w:rPr>
                <w:b w:val="0"/>
                <w:sz w:val="22"/>
              </w:rPr>
            </w:pPr>
            <w:r>
              <w:rPr>
                <w:b w:val="0"/>
                <w:sz w:val="22"/>
              </w:rPr>
              <w:t>External Audit Fee</w:t>
            </w:r>
          </w:p>
        </w:tc>
        <w:tc>
          <w:tcPr>
            <w:tcW w:w="901" w:type="pct"/>
          </w:tcPr>
          <w:p w:rsidR="009F2903" w:rsidRDefault="00A65441" w:rsidP="00D302EF">
            <w:pPr>
              <w:pStyle w:val="DecimalAligned"/>
              <w:jc w:val="right"/>
            </w:pPr>
            <w:r>
              <w:t>10,000</w:t>
            </w:r>
          </w:p>
        </w:tc>
        <w:tc>
          <w:tcPr>
            <w:tcW w:w="900" w:type="pct"/>
          </w:tcPr>
          <w:p w:rsidR="009F2903" w:rsidRDefault="00A65441" w:rsidP="00D302EF">
            <w:pPr>
              <w:pStyle w:val="DecimalAligned"/>
              <w:jc w:val="right"/>
            </w:pPr>
            <w:r>
              <w:t>10,000</w:t>
            </w:r>
          </w:p>
        </w:tc>
      </w:tr>
      <w:tr w:rsidR="00712A58" w:rsidRPr="00980D80" w:rsidTr="00EE6156">
        <w:tc>
          <w:tcPr>
            <w:tcW w:w="3199" w:type="pct"/>
            <w:noWrap/>
          </w:tcPr>
          <w:p w:rsidR="00712A58" w:rsidRDefault="00712A58" w:rsidP="00D302EF">
            <w:pPr>
              <w:rPr>
                <w:b w:val="0"/>
                <w:sz w:val="22"/>
              </w:rPr>
            </w:pPr>
            <w:r>
              <w:rPr>
                <w:b w:val="0"/>
                <w:sz w:val="22"/>
              </w:rPr>
              <w:t>Tax Advice</w:t>
            </w:r>
          </w:p>
        </w:tc>
        <w:tc>
          <w:tcPr>
            <w:tcW w:w="901" w:type="pct"/>
          </w:tcPr>
          <w:p w:rsidR="00712A58" w:rsidRDefault="00A65441" w:rsidP="00D302EF">
            <w:pPr>
              <w:pStyle w:val="DecimalAligned"/>
              <w:jc w:val="right"/>
            </w:pPr>
            <w:r>
              <w:t>0</w:t>
            </w:r>
          </w:p>
        </w:tc>
        <w:tc>
          <w:tcPr>
            <w:tcW w:w="900" w:type="pct"/>
          </w:tcPr>
          <w:p w:rsidR="00712A58" w:rsidRDefault="00A65441" w:rsidP="00D302EF">
            <w:pPr>
              <w:pStyle w:val="DecimalAligned"/>
              <w:jc w:val="right"/>
            </w:pPr>
            <w:r>
              <w:t>10,641</w:t>
            </w:r>
          </w:p>
        </w:tc>
      </w:tr>
      <w:tr w:rsidR="00712A58" w:rsidRPr="00980D80" w:rsidTr="00EE6156">
        <w:tc>
          <w:tcPr>
            <w:tcW w:w="3199" w:type="pct"/>
            <w:noWrap/>
          </w:tcPr>
          <w:p w:rsidR="00712A58" w:rsidRDefault="00712A58" w:rsidP="00D302EF">
            <w:pPr>
              <w:rPr>
                <w:b w:val="0"/>
                <w:sz w:val="22"/>
              </w:rPr>
            </w:pPr>
            <w:r>
              <w:rPr>
                <w:b w:val="0"/>
                <w:sz w:val="22"/>
              </w:rPr>
              <w:t>Property Repairs</w:t>
            </w:r>
          </w:p>
        </w:tc>
        <w:tc>
          <w:tcPr>
            <w:tcW w:w="901" w:type="pct"/>
          </w:tcPr>
          <w:p w:rsidR="00712A58" w:rsidRDefault="00A65441" w:rsidP="00D302EF">
            <w:pPr>
              <w:pStyle w:val="DecimalAligned"/>
              <w:jc w:val="right"/>
            </w:pPr>
            <w:r>
              <w:t>0</w:t>
            </w:r>
          </w:p>
        </w:tc>
        <w:tc>
          <w:tcPr>
            <w:tcW w:w="900" w:type="pct"/>
          </w:tcPr>
          <w:p w:rsidR="00712A58" w:rsidRDefault="00A65441" w:rsidP="00D302EF">
            <w:pPr>
              <w:pStyle w:val="DecimalAligned"/>
              <w:jc w:val="right"/>
            </w:pPr>
            <w:r>
              <w:t>3,750</w:t>
            </w:r>
          </w:p>
        </w:tc>
      </w:tr>
      <w:tr w:rsidR="00712A58" w:rsidRPr="00980D80" w:rsidTr="00EE6156">
        <w:tc>
          <w:tcPr>
            <w:tcW w:w="3199" w:type="pct"/>
            <w:noWrap/>
          </w:tcPr>
          <w:p w:rsidR="00712A58" w:rsidRDefault="00712A58" w:rsidP="00D302EF">
            <w:pPr>
              <w:rPr>
                <w:b w:val="0"/>
                <w:sz w:val="22"/>
              </w:rPr>
            </w:pPr>
            <w:r>
              <w:rPr>
                <w:b w:val="0"/>
                <w:sz w:val="22"/>
              </w:rPr>
              <w:t>Development Fees</w:t>
            </w:r>
          </w:p>
        </w:tc>
        <w:tc>
          <w:tcPr>
            <w:tcW w:w="901" w:type="pct"/>
          </w:tcPr>
          <w:p w:rsidR="00712A58" w:rsidRDefault="00A65441" w:rsidP="00D302EF">
            <w:pPr>
              <w:pStyle w:val="DecimalAligned"/>
              <w:jc w:val="right"/>
            </w:pPr>
            <w:r>
              <w:t>0</w:t>
            </w:r>
          </w:p>
        </w:tc>
        <w:tc>
          <w:tcPr>
            <w:tcW w:w="900" w:type="pct"/>
          </w:tcPr>
          <w:p w:rsidR="00712A58" w:rsidRDefault="00A65441" w:rsidP="00D302EF">
            <w:pPr>
              <w:pStyle w:val="DecimalAligned"/>
              <w:jc w:val="right"/>
            </w:pPr>
            <w:r>
              <w:t>278,351</w:t>
            </w:r>
          </w:p>
        </w:tc>
      </w:tr>
      <w:tr w:rsidR="00712A58" w:rsidRPr="00980D80" w:rsidTr="00EE6156">
        <w:tc>
          <w:tcPr>
            <w:tcW w:w="3199" w:type="pct"/>
            <w:noWrap/>
          </w:tcPr>
          <w:p w:rsidR="00712A58" w:rsidRDefault="00712A58" w:rsidP="00D302EF">
            <w:pPr>
              <w:rPr>
                <w:b w:val="0"/>
                <w:sz w:val="22"/>
              </w:rPr>
            </w:pPr>
            <w:r>
              <w:rPr>
                <w:b w:val="0"/>
                <w:sz w:val="22"/>
              </w:rPr>
              <w:t>Depreciation</w:t>
            </w:r>
          </w:p>
        </w:tc>
        <w:tc>
          <w:tcPr>
            <w:tcW w:w="901" w:type="pct"/>
          </w:tcPr>
          <w:p w:rsidR="00712A58" w:rsidRDefault="00A65441" w:rsidP="00D302EF">
            <w:pPr>
              <w:pStyle w:val="DecimalAligned"/>
              <w:jc w:val="right"/>
            </w:pPr>
            <w:r>
              <w:t>7,645</w:t>
            </w:r>
          </w:p>
        </w:tc>
        <w:tc>
          <w:tcPr>
            <w:tcW w:w="900" w:type="pct"/>
          </w:tcPr>
          <w:p w:rsidR="00712A58" w:rsidRDefault="00A65441" w:rsidP="00D302EF">
            <w:pPr>
              <w:pStyle w:val="DecimalAligned"/>
              <w:jc w:val="right"/>
            </w:pPr>
            <w:r>
              <w:t>0</w:t>
            </w:r>
          </w:p>
        </w:tc>
      </w:tr>
      <w:tr w:rsidR="00712A58" w:rsidRPr="00980D80" w:rsidTr="00EE6156">
        <w:tc>
          <w:tcPr>
            <w:tcW w:w="3199" w:type="pct"/>
            <w:noWrap/>
          </w:tcPr>
          <w:p w:rsidR="00712A58" w:rsidRDefault="00712A58" w:rsidP="00D302EF">
            <w:pPr>
              <w:rPr>
                <w:b w:val="0"/>
                <w:sz w:val="22"/>
              </w:rPr>
            </w:pPr>
            <w:r>
              <w:rPr>
                <w:b w:val="0"/>
                <w:sz w:val="22"/>
              </w:rPr>
              <w:t>Impairment</w:t>
            </w:r>
          </w:p>
        </w:tc>
        <w:tc>
          <w:tcPr>
            <w:tcW w:w="901" w:type="pct"/>
          </w:tcPr>
          <w:p w:rsidR="00712A58" w:rsidRDefault="00A65441" w:rsidP="00D302EF">
            <w:pPr>
              <w:pStyle w:val="DecimalAligned"/>
              <w:jc w:val="right"/>
            </w:pPr>
            <w:r>
              <w:t>113,158</w:t>
            </w:r>
          </w:p>
        </w:tc>
        <w:tc>
          <w:tcPr>
            <w:tcW w:w="900" w:type="pct"/>
          </w:tcPr>
          <w:p w:rsidR="00712A58" w:rsidRDefault="00A65441" w:rsidP="00D302EF">
            <w:pPr>
              <w:pStyle w:val="DecimalAligned"/>
              <w:jc w:val="right"/>
            </w:pPr>
            <w:r>
              <w:t>0</w:t>
            </w:r>
          </w:p>
        </w:tc>
      </w:tr>
      <w:tr w:rsidR="00712A58" w:rsidRPr="00980D80" w:rsidTr="00EE6156">
        <w:tc>
          <w:tcPr>
            <w:tcW w:w="3199" w:type="pct"/>
            <w:noWrap/>
          </w:tcPr>
          <w:p w:rsidR="00712A58" w:rsidRDefault="00712A58" w:rsidP="00D302EF">
            <w:pPr>
              <w:rPr>
                <w:b w:val="0"/>
                <w:sz w:val="22"/>
              </w:rPr>
            </w:pPr>
            <w:r>
              <w:rPr>
                <w:b w:val="0"/>
                <w:sz w:val="22"/>
              </w:rPr>
              <w:t>Procurement Advice</w:t>
            </w:r>
          </w:p>
        </w:tc>
        <w:tc>
          <w:tcPr>
            <w:tcW w:w="901" w:type="pct"/>
          </w:tcPr>
          <w:p w:rsidR="00712A58" w:rsidRDefault="00A65441" w:rsidP="00D302EF">
            <w:pPr>
              <w:pStyle w:val="DecimalAligned"/>
              <w:jc w:val="right"/>
            </w:pPr>
            <w:r>
              <w:t>6,000</w:t>
            </w:r>
          </w:p>
        </w:tc>
        <w:tc>
          <w:tcPr>
            <w:tcW w:w="900" w:type="pct"/>
          </w:tcPr>
          <w:p w:rsidR="00712A58" w:rsidRDefault="00A65441" w:rsidP="00D302EF">
            <w:pPr>
              <w:pStyle w:val="DecimalAligned"/>
              <w:jc w:val="right"/>
            </w:pPr>
            <w:r>
              <w:t>0</w:t>
            </w:r>
          </w:p>
        </w:tc>
      </w:tr>
      <w:tr w:rsidR="00712A58" w:rsidRPr="00980D80" w:rsidTr="00EE6156">
        <w:tc>
          <w:tcPr>
            <w:tcW w:w="3199" w:type="pct"/>
            <w:noWrap/>
          </w:tcPr>
          <w:p w:rsidR="00712A58" w:rsidRDefault="00A65441" w:rsidP="00D302EF">
            <w:pPr>
              <w:rPr>
                <w:b w:val="0"/>
                <w:sz w:val="22"/>
              </w:rPr>
            </w:pPr>
            <w:r>
              <w:rPr>
                <w:b w:val="0"/>
                <w:sz w:val="22"/>
              </w:rPr>
              <w:t>Insurance</w:t>
            </w:r>
          </w:p>
        </w:tc>
        <w:tc>
          <w:tcPr>
            <w:tcW w:w="901" w:type="pct"/>
          </w:tcPr>
          <w:p w:rsidR="00712A58" w:rsidRDefault="00A65441" w:rsidP="00D302EF">
            <w:pPr>
              <w:pStyle w:val="DecimalAligned"/>
              <w:jc w:val="right"/>
            </w:pPr>
            <w:r>
              <w:t>6,192</w:t>
            </w:r>
          </w:p>
        </w:tc>
        <w:tc>
          <w:tcPr>
            <w:tcW w:w="900" w:type="pct"/>
          </w:tcPr>
          <w:p w:rsidR="00712A58" w:rsidRDefault="00A65441" w:rsidP="00D302EF">
            <w:pPr>
              <w:pStyle w:val="DecimalAligned"/>
              <w:jc w:val="right"/>
            </w:pPr>
            <w:r>
              <w:t>0</w:t>
            </w:r>
          </w:p>
        </w:tc>
      </w:tr>
      <w:tr w:rsidR="00A65441" w:rsidRPr="00980D80" w:rsidTr="00EE6156">
        <w:tc>
          <w:tcPr>
            <w:tcW w:w="3199" w:type="pct"/>
            <w:noWrap/>
          </w:tcPr>
          <w:p w:rsidR="00A65441" w:rsidRDefault="00A65441" w:rsidP="00D302EF">
            <w:pPr>
              <w:rPr>
                <w:b w:val="0"/>
                <w:sz w:val="22"/>
              </w:rPr>
            </w:pPr>
            <w:r>
              <w:rPr>
                <w:b w:val="0"/>
                <w:sz w:val="22"/>
              </w:rPr>
              <w:t>IT (SLA)</w:t>
            </w:r>
          </w:p>
        </w:tc>
        <w:tc>
          <w:tcPr>
            <w:tcW w:w="901" w:type="pct"/>
          </w:tcPr>
          <w:p w:rsidR="00A65441" w:rsidRDefault="00A65441" w:rsidP="00D302EF">
            <w:pPr>
              <w:pStyle w:val="DecimalAligned"/>
              <w:jc w:val="right"/>
            </w:pPr>
            <w:r>
              <w:t>5,666</w:t>
            </w:r>
          </w:p>
        </w:tc>
        <w:tc>
          <w:tcPr>
            <w:tcW w:w="900" w:type="pct"/>
          </w:tcPr>
          <w:p w:rsidR="00A65441" w:rsidRDefault="00A65441" w:rsidP="00D302EF">
            <w:pPr>
              <w:pStyle w:val="DecimalAligned"/>
              <w:jc w:val="right"/>
            </w:pPr>
            <w:r>
              <w:t>0</w:t>
            </w:r>
          </w:p>
        </w:tc>
      </w:tr>
      <w:tr w:rsidR="009F2903" w:rsidRPr="00980D80" w:rsidTr="00EE6156">
        <w:tc>
          <w:tcPr>
            <w:tcW w:w="3199" w:type="pct"/>
            <w:noWrap/>
          </w:tcPr>
          <w:p w:rsidR="009F2903" w:rsidRDefault="00A65441" w:rsidP="00D302EF">
            <w:pPr>
              <w:rPr>
                <w:b w:val="0"/>
                <w:sz w:val="22"/>
              </w:rPr>
            </w:pPr>
            <w:r>
              <w:rPr>
                <w:b w:val="0"/>
                <w:sz w:val="22"/>
              </w:rPr>
              <w:t>Sundry</w:t>
            </w:r>
          </w:p>
        </w:tc>
        <w:tc>
          <w:tcPr>
            <w:tcW w:w="901" w:type="pct"/>
          </w:tcPr>
          <w:p w:rsidR="009F2903" w:rsidRDefault="00A65441" w:rsidP="00D302EF">
            <w:pPr>
              <w:pStyle w:val="DecimalAligned"/>
              <w:jc w:val="right"/>
            </w:pPr>
            <w:r>
              <w:t>1,530</w:t>
            </w:r>
          </w:p>
        </w:tc>
        <w:tc>
          <w:tcPr>
            <w:tcW w:w="900" w:type="pct"/>
          </w:tcPr>
          <w:p w:rsidR="009F2903" w:rsidRDefault="00A65441" w:rsidP="00D302EF">
            <w:pPr>
              <w:pStyle w:val="DecimalAligned"/>
              <w:jc w:val="right"/>
            </w:pPr>
            <w:r>
              <w:t>125</w:t>
            </w:r>
          </w:p>
        </w:tc>
      </w:tr>
      <w:tr w:rsidR="009F2903" w:rsidRPr="00980D80" w:rsidTr="00EE6156">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9F2903" w:rsidRPr="00980D80" w:rsidRDefault="00A65441" w:rsidP="00D302EF">
            <w:pPr>
              <w:rPr>
                <w:sz w:val="22"/>
              </w:rPr>
            </w:pPr>
            <w:r>
              <w:rPr>
                <w:sz w:val="22"/>
              </w:rPr>
              <w:t>Administration Expenses</w:t>
            </w:r>
          </w:p>
        </w:tc>
        <w:tc>
          <w:tcPr>
            <w:tcW w:w="901" w:type="pct"/>
            <w:tcBorders>
              <w:top w:val="single" w:sz="12" w:space="0" w:color="auto"/>
              <w:bottom w:val="nil"/>
            </w:tcBorders>
          </w:tcPr>
          <w:p w:rsidR="009F2903" w:rsidRPr="00980D80" w:rsidRDefault="00A65441" w:rsidP="00D302EF">
            <w:pPr>
              <w:pStyle w:val="DecimalAligned"/>
              <w:jc w:val="right"/>
              <w:rPr>
                <w:b/>
              </w:rPr>
            </w:pPr>
            <w:r>
              <w:rPr>
                <w:b/>
              </w:rPr>
              <w:t>443,120</w:t>
            </w:r>
          </w:p>
        </w:tc>
        <w:tc>
          <w:tcPr>
            <w:tcW w:w="900" w:type="pct"/>
            <w:tcBorders>
              <w:top w:val="single" w:sz="12" w:space="0" w:color="auto"/>
              <w:bottom w:val="nil"/>
            </w:tcBorders>
          </w:tcPr>
          <w:p w:rsidR="009F2903" w:rsidRPr="00980D80" w:rsidRDefault="00A65441" w:rsidP="00D302EF">
            <w:pPr>
              <w:pStyle w:val="DecimalAligned"/>
              <w:jc w:val="right"/>
              <w:rPr>
                <w:b/>
              </w:rPr>
            </w:pPr>
            <w:r>
              <w:rPr>
                <w:b/>
              </w:rPr>
              <w:t>570,565</w:t>
            </w:r>
          </w:p>
        </w:tc>
      </w:tr>
    </w:tbl>
    <w:p w:rsidR="00EE6156" w:rsidRDefault="00EE6156" w:rsidP="00EE615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lastRenderedPageBreak/>
        <w:t>Interest Payable and Similar Charges</w:t>
      </w:r>
    </w:p>
    <w:p w:rsidR="00EE6156" w:rsidRDefault="00EE6156" w:rsidP="00EE6156">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EE6156"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EE6156" w:rsidRPr="000349B6" w:rsidRDefault="00EE6156" w:rsidP="00D302EF">
            <w:pPr>
              <w:rPr>
                <w:b/>
                <w:color w:val="FFFFFF" w:themeColor="background1"/>
              </w:rPr>
            </w:pPr>
          </w:p>
        </w:tc>
        <w:tc>
          <w:tcPr>
            <w:tcW w:w="901" w:type="pct"/>
            <w:shd w:val="clear" w:color="auto" w:fill="0070C0"/>
          </w:tcPr>
          <w:p w:rsidR="00EE6156" w:rsidRPr="000349B6" w:rsidRDefault="00EE6156" w:rsidP="00D302EF">
            <w:pPr>
              <w:jc w:val="right"/>
              <w:rPr>
                <w:b/>
                <w:color w:val="FFFFFF" w:themeColor="background1"/>
              </w:rPr>
            </w:pPr>
            <w:r>
              <w:rPr>
                <w:b/>
                <w:color w:val="FFFFFF" w:themeColor="background1"/>
              </w:rPr>
              <w:t>2018/19</w:t>
            </w:r>
          </w:p>
        </w:tc>
        <w:tc>
          <w:tcPr>
            <w:tcW w:w="900" w:type="pct"/>
            <w:shd w:val="clear" w:color="auto" w:fill="0070C0"/>
          </w:tcPr>
          <w:p w:rsidR="00EE6156" w:rsidRPr="000349B6" w:rsidRDefault="00EE6156" w:rsidP="00D302EF">
            <w:pPr>
              <w:jc w:val="center"/>
              <w:rPr>
                <w:b/>
                <w:color w:val="FFFFFF" w:themeColor="background1"/>
              </w:rPr>
            </w:pPr>
            <w:r>
              <w:rPr>
                <w:b/>
                <w:color w:val="FFFFFF" w:themeColor="background1"/>
              </w:rPr>
              <w:t>2017/18</w:t>
            </w:r>
          </w:p>
        </w:tc>
      </w:tr>
      <w:tr w:rsidR="00EE6156" w:rsidRPr="00980D80" w:rsidTr="00D302EF">
        <w:tc>
          <w:tcPr>
            <w:tcW w:w="3199" w:type="pct"/>
            <w:tcBorders>
              <w:top w:val="single" w:sz="18" w:space="0" w:color="auto"/>
              <w:bottom w:val="nil"/>
            </w:tcBorders>
            <w:noWrap/>
          </w:tcPr>
          <w:p w:rsidR="00EE6156" w:rsidRPr="00980D80" w:rsidRDefault="00EE6156" w:rsidP="00D302EF">
            <w:pPr>
              <w:rPr>
                <w:sz w:val="22"/>
              </w:rPr>
            </w:pPr>
          </w:p>
        </w:tc>
        <w:tc>
          <w:tcPr>
            <w:tcW w:w="901" w:type="pct"/>
            <w:tcBorders>
              <w:top w:val="single" w:sz="18" w:space="0" w:color="auto"/>
              <w:bottom w:val="nil"/>
            </w:tcBorders>
          </w:tcPr>
          <w:p w:rsidR="00EE6156" w:rsidRPr="00980D80" w:rsidRDefault="00EE6156" w:rsidP="00D302EF">
            <w:pPr>
              <w:jc w:val="right"/>
              <w:rPr>
                <w:i/>
                <w:sz w:val="22"/>
              </w:rPr>
            </w:pPr>
            <w:r w:rsidRPr="00980D80">
              <w:rPr>
                <w:i/>
                <w:sz w:val="22"/>
              </w:rPr>
              <w:t>£</w:t>
            </w:r>
          </w:p>
        </w:tc>
        <w:tc>
          <w:tcPr>
            <w:tcW w:w="900" w:type="pct"/>
            <w:tcBorders>
              <w:top w:val="single" w:sz="18" w:space="0" w:color="auto"/>
              <w:bottom w:val="nil"/>
            </w:tcBorders>
          </w:tcPr>
          <w:p w:rsidR="00EE6156" w:rsidRPr="00EC1D88" w:rsidRDefault="00EE6156" w:rsidP="00D302EF">
            <w:pPr>
              <w:jc w:val="right"/>
              <w:rPr>
                <w:i/>
                <w:sz w:val="22"/>
              </w:rPr>
            </w:pPr>
            <w:r w:rsidRPr="00EC1D88">
              <w:rPr>
                <w:i/>
                <w:sz w:val="22"/>
              </w:rPr>
              <w:t>£</w:t>
            </w:r>
          </w:p>
        </w:tc>
      </w:tr>
      <w:tr w:rsidR="00EE6156" w:rsidRPr="00980D80" w:rsidTr="00D302EF">
        <w:tc>
          <w:tcPr>
            <w:tcW w:w="3199" w:type="pct"/>
            <w:noWrap/>
          </w:tcPr>
          <w:p w:rsidR="00EE6156" w:rsidRPr="00980D80" w:rsidRDefault="00EE6156" w:rsidP="00D302EF">
            <w:pPr>
              <w:rPr>
                <w:b w:val="0"/>
                <w:sz w:val="22"/>
              </w:rPr>
            </w:pPr>
            <w:r>
              <w:rPr>
                <w:b w:val="0"/>
                <w:sz w:val="22"/>
              </w:rPr>
              <w:t>Long Term Borrowing – Capital Value</w:t>
            </w:r>
          </w:p>
        </w:tc>
        <w:tc>
          <w:tcPr>
            <w:tcW w:w="901" w:type="pct"/>
          </w:tcPr>
          <w:p w:rsidR="00EE6156" w:rsidRPr="00980D80" w:rsidRDefault="00EE6156" w:rsidP="00D302EF">
            <w:pPr>
              <w:pStyle w:val="DecimalAligned"/>
              <w:jc w:val="right"/>
            </w:pPr>
            <w:r>
              <w:t>56,739</w:t>
            </w:r>
          </w:p>
        </w:tc>
        <w:tc>
          <w:tcPr>
            <w:tcW w:w="900" w:type="pct"/>
          </w:tcPr>
          <w:p w:rsidR="00EE6156" w:rsidRPr="00980D80" w:rsidRDefault="00EE6156" w:rsidP="00D302EF">
            <w:pPr>
              <w:pStyle w:val="DecimalAligned"/>
              <w:jc w:val="right"/>
            </w:pPr>
            <w:r>
              <w:t>1,900</w:t>
            </w:r>
          </w:p>
        </w:tc>
      </w:tr>
      <w:tr w:rsidR="00EE6156" w:rsidRPr="00980D80" w:rsidTr="00D302EF">
        <w:tc>
          <w:tcPr>
            <w:tcW w:w="3199" w:type="pct"/>
            <w:noWrap/>
          </w:tcPr>
          <w:p w:rsidR="00EE6156" w:rsidRDefault="00EE6156" w:rsidP="00D302EF">
            <w:pPr>
              <w:rPr>
                <w:b w:val="0"/>
                <w:sz w:val="22"/>
              </w:rPr>
            </w:pPr>
            <w:r>
              <w:rPr>
                <w:b w:val="0"/>
                <w:sz w:val="22"/>
              </w:rPr>
              <w:t>Long Term Borrowing – Cost of Purchase</w:t>
            </w:r>
          </w:p>
        </w:tc>
        <w:tc>
          <w:tcPr>
            <w:tcW w:w="901" w:type="pct"/>
          </w:tcPr>
          <w:p w:rsidR="00EE6156" w:rsidRDefault="00EE6156" w:rsidP="00D302EF">
            <w:pPr>
              <w:pStyle w:val="DecimalAligned"/>
              <w:jc w:val="right"/>
            </w:pPr>
            <w:r>
              <w:t>0</w:t>
            </w:r>
          </w:p>
        </w:tc>
        <w:tc>
          <w:tcPr>
            <w:tcW w:w="900" w:type="pct"/>
          </w:tcPr>
          <w:p w:rsidR="00EE6156" w:rsidRDefault="00EE6156" w:rsidP="00D302EF">
            <w:pPr>
              <w:pStyle w:val="DecimalAligned"/>
              <w:jc w:val="right"/>
            </w:pPr>
            <w:r>
              <w:t>34</w:t>
            </w:r>
          </w:p>
        </w:tc>
      </w:tr>
      <w:tr w:rsidR="00EE6156" w:rsidRPr="00980D80" w:rsidTr="00D302EF">
        <w:tc>
          <w:tcPr>
            <w:tcW w:w="3199" w:type="pct"/>
            <w:noWrap/>
          </w:tcPr>
          <w:p w:rsidR="00EE6156" w:rsidRDefault="00EE6156" w:rsidP="00D302EF">
            <w:pPr>
              <w:rPr>
                <w:b w:val="0"/>
                <w:sz w:val="22"/>
              </w:rPr>
            </w:pPr>
            <w:r>
              <w:rPr>
                <w:b w:val="0"/>
                <w:sz w:val="22"/>
              </w:rPr>
              <w:t>Interest and Commission</w:t>
            </w:r>
          </w:p>
        </w:tc>
        <w:tc>
          <w:tcPr>
            <w:tcW w:w="901" w:type="pct"/>
          </w:tcPr>
          <w:p w:rsidR="00EE6156" w:rsidRDefault="00EE6156" w:rsidP="00D302EF">
            <w:pPr>
              <w:pStyle w:val="DecimalAligned"/>
              <w:jc w:val="right"/>
            </w:pPr>
            <w:r>
              <w:t>57,873</w:t>
            </w:r>
          </w:p>
        </w:tc>
        <w:tc>
          <w:tcPr>
            <w:tcW w:w="900" w:type="pct"/>
          </w:tcPr>
          <w:p w:rsidR="00EE6156" w:rsidRDefault="00EE6156" w:rsidP="00D302EF">
            <w:pPr>
              <w:pStyle w:val="DecimalAligned"/>
              <w:jc w:val="right"/>
            </w:pPr>
            <w:r>
              <w:t>27,926</w:t>
            </w:r>
          </w:p>
        </w:tc>
      </w:tr>
      <w:tr w:rsidR="00EE6156" w:rsidRPr="00980D80" w:rsidTr="00D302EF">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EE6156" w:rsidRPr="00980D80" w:rsidRDefault="0079552E" w:rsidP="00D302EF">
            <w:pPr>
              <w:rPr>
                <w:sz w:val="22"/>
              </w:rPr>
            </w:pPr>
            <w:r>
              <w:rPr>
                <w:sz w:val="22"/>
              </w:rPr>
              <w:t>Interest Payable and Similar Charges</w:t>
            </w:r>
          </w:p>
        </w:tc>
        <w:tc>
          <w:tcPr>
            <w:tcW w:w="901" w:type="pct"/>
            <w:tcBorders>
              <w:top w:val="single" w:sz="12" w:space="0" w:color="auto"/>
              <w:bottom w:val="nil"/>
            </w:tcBorders>
          </w:tcPr>
          <w:p w:rsidR="00EE6156" w:rsidRPr="00980D80" w:rsidRDefault="00EE6156" w:rsidP="00D302EF">
            <w:pPr>
              <w:pStyle w:val="DecimalAligned"/>
              <w:jc w:val="right"/>
              <w:rPr>
                <w:b/>
              </w:rPr>
            </w:pPr>
            <w:r>
              <w:rPr>
                <w:b/>
              </w:rPr>
              <w:t>114,612</w:t>
            </w:r>
          </w:p>
        </w:tc>
        <w:tc>
          <w:tcPr>
            <w:tcW w:w="900" w:type="pct"/>
            <w:tcBorders>
              <w:top w:val="single" w:sz="12" w:space="0" w:color="auto"/>
              <w:bottom w:val="nil"/>
            </w:tcBorders>
          </w:tcPr>
          <w:p w:rsidR="00EE6156" w:rsidRPr="00980D80" w:rsidRDefault="00EE6156" w:rsidP="00D302EF">
            <w:pPr>
              <w:pStyle w:val="DecimalAligned"/>
              <w:jc w:val="right"/>
              <w:rPr>
                <w:b/>
              </w:rPr>
            </w:pPr>
            <w:r>
              <w:rPr>
                <w:b/>
              </w:rPr>
              <w:t>29,860</w:t>
            </w:r>
          </w:p>
        </w:tc>
      </w:tr>
    </w:tbl>
    <w:p w:rsidR="00527F28" w:rsidRDefault="00527F28" w:rsidP="00EE6156">
      <w:pPr>
        <w:pStyle w:val="ListParagraph"/>
        <w:ind w:left="720"/>
        <w:rPr>
          <w:rFonts w:asciiTheme="minorHAnsi" w:hAnsiTheme="minorHAnsi" w:cstheme="minorHAnsi"/>
          <w:sz w:val="28"/>
          <w:szCs w:val="28"/>
        </w:rPr>
      </w:pPr>
      <w:r>
        <w:rPr>
          <w:rFonts w:asciiTheme="minorHAnsi" w:hAnsiTheme="minorHAnsi" w:cstheme="minorHAnsi"/>
          <w:sz w:val="28"/>
          <w:szCs w:val="28"/>
        </w:rPr>
        <w:tab/>
      </w:r>
    </w:p>
    <w:p w:rsidR="00EE6156" w:rsidRPr="00EE6156" w:rsidRDefault="00EE6156" w:rsidP="00EE615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t>Corporation Tax</w:t>
      </w:r>
    </w:p>
    <w:p w:rsidR="00EE6156" w:rsidRDefault="00EE6156" w:rsidP="00EE6156">
      <w:pPr>
        <w:pStyle w:val="ListParagraph"/>
        <w:ind w:left="720"/>
        <w:rPr>
          <w:rFonts w:asciiTheme="minorHAnsi" w:hAnsiTheme="minorHAnsi" w:cstheme="minorHAnsi"/>
          <w:sz w:val="28"/>
          <w:szCs w:val="28"/>
          <w:u w:val="single"/>
        </w:rPr>
      </w:pPr>
    </w:p>
    <w:p w:rsidR="00EE6156" w:rsidRDefault="00EE6156" w:rsidP="00EE6156">
      <w:pPr>
        <w:pStyle w:val="ListParagraph"/>
        <w:ind w:left="720"/>
        <w:rPr>
          <w:rFonts w:asciiTheme="minorHAnsi" w:hAnsiTheme="minorHAnsi" w:cstheme="minorHAnsi"/>
          <w:sz w:val="28"/>
          <w:szCs w:val="28"/>
        </w:rPr>
      </w:pPr>
      <w:r w:rsidRPr="00EE6156">
        <w:rPr>
          <w:rFonts w:asciiTheme="minorHAnsi" w:hAnsiTheme="minorHAnsi" w:cstheme="minorHAnsi"/>
          <w:sz w:val="28"/>
          <w:szCs w:val="28"/>
        </w:rPr>
        <w:t>No corporation tax or deferred tax liability has been posted to the financial statements during this period due to losses incurred. The company has not provided for the deferred tax asset, estimated to be £87,446 (2018 £101,074), as the company does not yet have an established record of profitability.</w:t>
      </w:r>
    </w:p>
    <w:p w:rsidR="00527F28" w:rsidRPr="00527F28" w:rsidRDefault="00527F28" w:rsidP="00527F28">
      <w:pPr>
        <w:pStyle w:val="ListParagraph"/>
        <w:rPr>
          <w:rFonts w:asciiTheme="minorHAnsi" w:hAnsiTheme="minorHAnsi" w:cstheme="minorHAnsi"/>
          <w:sz w:val="28"/>
          <w:szCs w:val="28"/>
        </w:rPr>
      </w:pPr>
    </w:p>
    <w:p w:rsidR="00EE6156" w:rsidRDefault="00EE6156" w:rsidP="00EE6156">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u w:val="single"/>
        </w:rPr>
        <w:t>Called Up Share Capital</w:t>
      </w:r>
    </w:p>
    <w:p w:rsidR="00EE6156" w:rsidRDefault="00EE6156" w:rsidP="00EE6156">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EE6156"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EE6156" w:rsidRPr="000349B6" w:rsidRDefault="00EE6156" w:rsidP="00D302EF">
            <w:pPr>
              <w:rPr>
                <w:b/>
                <w:color w:val="FFFFFF" w:themeColor="background1"/>
              </w:rPr>
            </w:pPr>
          </w:p>
        </w:tc>
        <w:tc>
          <w:tcPr>
            <w:tcW w:w="901" w:type="pct"/>
            <w:shd w:val="clear" w:color="auto" w:fill="0070C0"/>
          </w:tcPr>
          <w:p w:rsidR="00EE6156" w:rsidRDefault="00EE6156" w:rsidP="00D302EF">
            <w:pPr>
              <w:jc w:val="right"/>
              <w:rPr>
                <w:b/>
                <w:color w:val="FFFFFF" w:themeColor="background1"/>
              </w:rPr>
            </w:pPr>
            <w:r>
              <w:rPr>
                <w:b/>
                <w:color w:val="FFFFFF" w:themeColor="background1"/>
              </w:rPr>
              <w:t>2018/19</w:t>
            </w:r>
          </w:p>
          <w:p w:rsidR="00EE6156" w:rsidRPr="000349B6" w:rsidRDefault="00EE6156" w:rsidP="00D302EF">
            <w:pPr>
              <w:jc w:val="right"/>
              <w:rPr>
                <w:b/>
                <w:color w:val="FFFFFF" w:themeColor="background1"/>
              </w:rPr>
            </w:pPr>
            <w:r>
              <w:rPr>
                <w:b/>
                <w:color w:val="FFFFFF" w:themeColor="background1"/>
              </w:rPr>
              <w:t>Number</w:t>
            </w:r>
          </w:p>
        </w:tc>
        <w:tc>
          <w:tcPr>
            <w:tcW w:w="900" w:type="pct"/>
            <w:shd w:val="clear" w:color="auto" w:fill="0070C0"/>
          </w:tcPr>
          <w:p w:rsidR="00EE6156" w:rsidRPr="000349B6" w:rsidRDefault="00EE6156" w:rsidP="00D302EF">
            <w:pPr>
              <w:jc w:val="center"/>
              <w:rPr>
                <w:b/>
                <w:color w:val="FFFFFF" w:themeColor="background1"/>
              </w:rPr>
            </w:pPr>
            <w:r>
              <w:rPr>
                <w:b/>
                <w:color w:val="FFFFFF" w:themeColor="background1"/>
              </w:rPr>
              <w:t>2018/19</w:t>
            </w:r>
          </w:p>
        </w:tc>
      </w:tr>
      <w:tr w:rsidR="00EE6156" w:rsidRPr="00980D80" w:rsidTr="00D302EF">
        <w:tc>
          <w:tcPr>
            <w:tcW w:w="3199" w:type="pct"/>
            <w:tcBorders>
              <w:top w:val="single" w:sz="18" w:space="0" w:color="auto"/>
              <w:bottom w:val="nil"/>
            </w:tcBorders>
            <w:noWrap/>
          </w:tcPr>
          <w:p w:rsidR="00EE6156" w:rsidRPr="00980D80" w:rsidRDefault="00EE6156" w:rsidP="00D302EF">
            <w:pPr>
              <w:rPr>
                <w:sz w:val="22"/>
              </w:rPr>
            </w:pPr>
          </w:p>
        </w:tc>
        <w:tc>
          <w:tcPr>
            <w:tcW w:w="901" w:type="pct"/>
            <w:tcBorders>
              <w:top w:val="single" w:sz="18" w:space="0" w:color="auto"/>
              <w:bottom w:val="nil"/>
            </w:tcBorders>
          </w:tcPr>
          <w:p w:rsidR="00EE6156" w:rsidRPr="00980D80" w:rsidRDefault="00EE6156" w:rsidP="00D302EF">
            <w:pPr>
              <w:jc w:val="right"/>
              <w:rPr>
                <w:i/>
                <w:sz w:val="22"/>
              </w:rPr>
            </w:pPr>
          </w:p>
        </w:tc>
        <w:tc>
          <w:tcPr>
            <w:tcW w:w="900" w:type="pct"/>
            <w:tcBorders>
              <w:top w:val="single" w:sz="18" w:space="0" w:color="auto"/>
              <w:bottom w:val="nil"/>
            </w:tcBorders>
          </w:tcPr>
          <w:p w:rsidR="00EE6156" w:rsidRPr="00EC1D88" w:rsidRDefault="00EE6156" w:rsidP="00D302EF">
            <w:pPr>
              <w:jc w:val="right"/>
              <w:rPr>
                <w:i/>
                <w:sz w:val="22"/>
              </w:rPr>
            </w:pPr>
            <w:r w:rsidRPr="00EC1D88">
              <w:rPr>
                <w:i/>
                <w:sz w:val="22"/>
              </w:rPr>
              <w:t>£</w:t>
            </w:r>
          </w:p>
        </w:tc>
      </w:tr>
      <w:tr w:rsidR="00EE6156" w:rsidRPr="00980D80" w:rsidTr="00DA4C5E">
        <w:tc>
          <w:tcPr>
            <w:tcW w:w="3199" w:type="pct"/>
            <w:tcBorders>
              <w:bottom w:val="nil"/>
            </w:tcBorders>
            <w:noWrap/>
          </w:tcPr>
          <w:p w:rsidR="00EE6156" w:rsidRPr="00980D80" w:rsidRDefault="00EE6156" w:rsidP="00D302EF">
            <w:pPr>
              <w:rPr>
                <w:b w:val="0"/>
                <w:sz w:val="22"/>
              </w:rPr>
            </w:pPr>
            <w:r>
              <w:rPr>
                <w:b w:val="0"/>
                <w:sz w:val="22"/>
              </w:rPr>
              <w:t>Ordinary Shares @ £1 each - Authorised</w:t>
            </w:r>
          </w:p>
        </w:tc>
        <w:tc>
          <w:tcPr>
            <w:tcW w:w="901" w:type="pct"/>
            <w:tcBorders>
              <w:bottom w:val="nil"/>
            </w:tcBorders>
          </w:tcPr>
          <w:p w:rsidR="00EE6156" w:rsidRPr="00980D80" w:rsidRDefault="00EE6156" w:rsidP="00D302EF">
            <w:pPr>
              <w:pStyle w:val="DecimalAligned"/>
              <w:jc w:val="right"/>
            </w:pPr>
            <w:r>
              <w:t>100</w:t>
            </w:r>
          </w:p>
        </w:tc>
        <w:tc>
          <w:tcPr>
            <w:tcW w:w="900" w:type="pct"/>
            <w:tcBorders>
              <w:bottom w:val="nil"/>
            </w:tcBorders>
          </w:tcPr>
          <w:p w:rsidR="00EE6156" w:rsidRPr="00980D80" w:rsidRDefault="00EE6156" w:rsidP="00D302EF">
            <w:pPr>
              <w:pStyle w:val="DecimalAligned"/>
              <w:jc w:val="right"/>
            </w:pPr>
            <w:r>
              <w:t>100</w:t>
            </w:r>
          </w:p>
        </w:tc>
      </w:tr>
      <w:tr w:rsidR="00EE6156" w:rsidRPr="00980D80" w:rsidTr="00DA4C5E">
        <w:trPr>
          <w:cnfStyle w:val="010000000000" w:firstRow="0" w:lastRow="1" w:firstColumn="0" w:lastColumn="0" w:oddVBand="0" w:evenVBand="0" w:oddHBand="0" w:evenHBand="0" w:firstRowFirstColumn="0" w:firstRowLastColumn="0" w:lastRowFirstColumn="0" w:lastRowLastColumn="0"/>
        </w:trPr>
        <w:tc>
          <w:tcPr>
            <w:tcW w:w="3199" w:type="pct"/>
            <w:tcBorders>
              <w:top w:val="nil"/>
              <w:bottom w:val="nil"/>
            </w:tcBorders>
            <w:noWrap/>
          </w:tcPr>
          <w:p w:rsidR="00EE6156" w:rsidRDefault="00DA4C5E" w:rsidP="00D302EF">
            <w:pPr>
              <w:rPr>
                <w:b w:val="0"/>
                <w:sz w:val="22"/>
              </w:rPr>
            </w:pPr>
            <w:r>
              <w:rPr>
                <w:b w:val="0"/>
                <w:sz w:val="22"/>
              </w:rPr>
              <w:t>Ordinary Shares @ £1 each – Issues and Fully Paid</w:t>
            </w:r>
          </w:p>
        </w:tc>
        <w:tc>
          <w:tcPr>
            <w:tcW w:w="901" w:type="pct"/>
            <w:tcBorders>
              <w:top w:val="nil"/>
              <w:bottom w:val="nil"/>
            </w:tcBorders>
          </w:tcPr>
          <w:p w:rsidR="00EE6156" w:rsidRDefault="00DA4C5E" w:rsidP="00D302EF">
            <w:pPr>
              <w:pStyle w:val="DecimalAligned"/>
              <w:jc w:val="right"/>
            </w:pPr>
            <w:r>
              <w:t>100</w:t>
            </w:r>
          </w:p>
        </w:tc>
        <w:tc>
          <w:tcPr>
            <w:tcW w:w="900" w:type="pct"/>
            <w:tcBorders>
              <w:top w:val="nil"/>
              <w:bottom w:val="nil"/>
            </w:tcBorders>
          </w:tcPr>
          <w:p w:rsidR="00EE6156" w:rsidRDefault="00DA4C5E" w:rsidP="00D302EF">
            <w:pPr>
              <w:pStyle w:val="DecimalAligned"/>
              <w:jc w:val="right"/>
            </w:pPr>
            <w:r>
              <w:t>100</w:t>
            </w:r>
          </w:p>
        </w:tc>
      </w:tr>
    </w:tbl>
    <w:p w:rsidR="00DA4C5E" w:rsidRDefault="00DA4C5E" w:rsidP="00DA4C5E">
      <w:pPr>
        <w:pStyle w:val="ListParagraph"/>
        <w:ind w:left="720"/>
        <w:rPr>
          <w:rFonts w:asciiTheme="minorHAnsi" w:hAnsiTheme="minorHAnsi" w:cstheme="minorHAnsi"/>
          <w:sz w:val="28"/>
          <w:szCs w:val="28"/>
        </w:rPr>
      </w:pPr>
    </w:p>
    <w:p w:rsidR="0079552E" w:rsidRPr="0079552E" w:rsidRDefault="0079552E" w:rsidP="0079552E">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u w:val="single"/>
        </w:rPr>
        <w:t>Related Party Transactions</w:t>
      </w:r>
    </w:p>
    <w:p w:rsidR="0079552E" w:rsidRDefault="0079552E" w:rsidP="0079552E">
      <w:pPr>
        <w:pStyle w:val="ListParagraph"/>
        <w:ind w:left="720"/>
        <w:rPr>
          <w:rFonts w:asciiTheme="minorHAnsi" w:hAnsiTheme="minorHAnsi" w:cstheme="minorHAnsi"/>
          <w:sz w:val="28"/>
          <w:szCs w:val="28"/>
          <w:u w:val="single"/>
        </w:rPr>
      </w:pPr>
    </w:p>
    <w:p w:rsidR="0079552E" w:rsidRDefault="0079552E" w:rsidP="0079552E">
      <w:pPr>
        <w:pStyle w:val="ListParagraph"/>
        <w:ind w:left="720"/>
        <w:rPr>
          <w:rFonts w:asciiTheme="minorHAnsi" w:hAnsiTheme="minorHAnsi" w:cstheme="minorHAnsi"/>
          <w:sz w:val="28"/>
          <w:szCs w:val="28"/>
        </w:rPr>
      </w:pPr>
      <w:r w:rsidRPr="0079552E">
        <w:rPr>
          <w:rFonts w:asciiTheme="minorHAnsi" w:hAnsiTheme="minorHAnsi" w:cstheme="minorHAnsi"/>
          <w:sz w:val="28"/>
          <w:szCs w:val="28"/>
        </w:rPr>
        <w:t>The company is wholly owned by Oxford City Council.  The Council has made long term loans totalling £4,326,670 and short terms loans of £2,138,800 to the Group.  Interest of £143,327 (2018 £29,860) has been charged on the loans.  At the Statement of Financial Position date the amounts due to the Council were:</w:t>
      </w:r>
    </w:p>
    <w:p w:rsidR="0079552E" w:rsidRDefault="0079552E" w:rsidP="0079552E">
      <w:pPr>
        <w:rPr>
          <w:rFonts w:cstheme="minorHAnsi"/>
          <w:szCs w:val="28"/>
        </w:rPr>
      </w:pPr>
    </w:p>
    <w:p w:rsidR="0079552E" w:rsidRDefault="0079552E" w:rsidP="0079552E">
      <w:pPr>
        <w:rPr>
          <w:rFonts w:cstheme="minorHAnsi"/>
          <w:szCs w:val="28"/>
        </w:rPr>
      </w:pPr>
    </w:p>
    <w:p w:rsidR="0079552E" w:rsidRDefault="0079552E" w:rsidP="0079552E">
      <w:pPr>
        <w:rPr>
          <w:rFonts w:cstheme="minorHAnsi"/>
          <w:szCs w:val="28"/>
        </w:rPr>
      </w:pPr>
    </w:p>
    <w:p w:rsidR="0079552E" w:rsidRDefault="0079552E" w:rsidP="0079552E">
      <w:pPr>
        <w:rPr>
          <w:rFonts w:cstheme="minorHAnsi"/>
          <w:szCs w:val="28"/>
        </w:rPr>
      </w:pPr>
    </w:p>
    <w:p w:rsidR="0079552E" w:rsidRDefault="0079552E" w:rsidP="0079552E">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79552E"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79552E" w:rsidRPr="000349B6" w:rsidRDefault="0079552E" w:rsidP="00D302EF">
            <w:pPr>
              <w:rPr>
                <w:b/>
                <w:color w:val="FFFFFF" w:themeColor="background1"/>
              </w:rPr>
            </w:pPr>
          </w:p>
        </w:tc>
        <w:tc>
          <w:tcPr>
            <w:tcW w:w="901" w:type="pct"/>
            <w:shd w:val="clear" w:color="auto" w:fill="0070C0"/>
          </w:tcPr>
          <w:p w:rsidR="0079552E" w:rsidRPr="000349B6" w:rsidRDefault="0079552E" w:rsidP="00D302EF">
            <w:pPr>
              <w:jc w:val="right"/>
              <w:rPr>
                <w:b/>
                <w:color w:val="FFFFFF" w:themeColor="background1"/>
              </w:rPr>
            </w:pPr>
            <w:r>
              <w:rPr>
                <w:b/>
                <w:color w:val="FFFFFF" w:themeColor="background1"/>
              </w:rPr>
              <w:t>2018/19</w:t>
            </w:r>
          </w:p>
        </w:tc>
        <w:tc>
          <w:tcPr>
            <w:tcW w:w="900" w:type="pct"/>
            <w:shd w:val="clear" w:color="auto" w:fill="0070C0"/>
          </w:tcPr>
          <w:p w:rsidR="0079552E" w:rsidRPr="000349B6" w:rsidRDefault="0079552E" w:rsidP="00D302EF">
            <w:pPr>
              <w:jc w:val="center"/>
              <w:rPr>
                <w:b/>
                <w:color w:val="FFFFFF" w:themeColor="background1"/>
              </w:rPr>
            </w:pPr>
            <w:r>
              <w:rPr>
                <w:b/>
                <w:color w:val="FFFFFF" w:themeColor="background1"/>
              </w:rPr>
              <w:t>2017/18</w:t>
            </w:r>
          </w:p>
        </w:tc>
      </w:tr>
      <w:tr w:rsidR="0079552E" w:rsidRPr="00980D80" w:rsidTr="00D302EF">
        <w:tc>
          <w:tcPr>
            <w:tcW w:w="3199" w:type="pct"/>
            <w:tcBorders>
              <w:top w:val="single" w:sz="18" w:space="0" w:color="auto"/>
              <w:bottom w:val="nil"/>
            </w:tcBorders>
            <w:noWrap/>
          </w:tcPr>
          <w:p w:rsidR="0079552E" w:rsidRPr="00980D80" w:rsidRDefault="0079552E" w:rsidP="00D302EF">
            <w:pPr>
              <w:rPr>
                <w:sz w:val="22"/>
              </w:rPr>
            </w:pPr>
          </w:p>
        </w:tc>
        <w:tc>
          <w:tcPr>
            <w:tcW w:w="901" w:type="pct"/>
            <w:tcBorders>
              <w:top w:val="single" w:sz="18" w:space="0" w:color="auto"/>
              <w:bottom w:val="nil"/>
            </w:tcBorders>
          </w:tcPr>
          <w:p w:rsidR="0079552E" w:rsidRPr="00980D80" w:rsidRDefault="0079552E" w:rsidP="00D302EF">
            <w:pPr>
              <w:jc w:val="right"/>
              <w:rPr>
                <w:i/>
                <w:sz w:val="22"/>
              </w:rPr>
            </w:pPr>
            <w:r w:rsidRPr="00980D80">
              <w:rPr>
                <w:i/>
                <w:sz w:val="22"/>
              </w:rPr>
              <w:t>£</w:t>
            </w:r>
          </w:p>
        </w:tc>
        <w:tc>
          <w:tcPr>
            <w:tcW w:w="900" w:type="pct"/>
            <w:tcBorders>
              <w:top w:val="single" w:sz="18" w:space="0" w:color="auto"/>
              <w:bottom w:val="nil"/>
            </w:tcBorders>
          </w:tcPr>
          <w:p w:rsidR="0079552E" w:rsidRPr="00EC1D88" w:rsidRDefault="0079552E" w:rsidP="00D302EF">
            <w:pPr>
              <w:jc w:val="right"/>
              <w:rPr>
                <w:i/>
                <w:sz w:val="22"/>
              </w:rPr>
            </w:pPr>
            <w:r w:rsidRPr="00EC1D88">
              <w:rPr>
                <w:i/>
                <w:sz w:val="22"/>
              </w:rPr>
              <w:t>£</w:t>
            </w:r>
          </w:p>
        </w:tc>
      </w:tr>
      <w:tr w:rsidR="0079552E" w:rsidRPr="00980D80" w:rsidTr="00D302EF">
        <w:tc>
          <w:tcPr>
            <w:tcW w:w="3199" w:type="pct"/>
            <w:noWrap/>
          </w:tcPr>
          <w:p w:rsidR="0079552E" w:rsidRPr="00980D80" w:rsidRDefault="0079552E" w:rsidP="00D302EF">
            <w:pPr>
              <w:rPr>
                <w:b w:val="0"/>
                <w:sz w:val="22"/>
              </w:rPr>
            </w:pPr>
            <w:r>
              <w:rPr>
                <w:b w:val="0"/>
                <w:sz w:val="22"/>
              </w:rPr>
              <w:t>Long Term Loans</w:t>
            </w:r>
          </w:p>
        </w:tc>
        <w:tc>
          <w:tcPr>
            <w:tcW w:w="901" w:type="pct"/>
          </w:tcPr>
          <w:p w:rsidR="0079552E" w:rsidRPr="00980D80" w:rsidRDefault="00F24F89" w:rsidP="00D302EF">
            <w:pPr>
              <w:pStyle w:val="DecimalAligned"/>
              <w:jc w:val="right"/>
            </w:pPr>
            <w:r>
              <w:t>4,326,670</w:t>
            </w:r>
          </w:p>
        </w:tc>
        <w:tc>
          <w:tcPr>
            <w:tcW w:w="900" w:type="pct"/>
          </w:tcPr>
          <w:p w:rsidR="0079552E" w:rsidRPr="00980D80" w:rsidRDefault="00F24F89" w:rsidP="00D302EF">
            <w:pPr>
              <w:pStyle w:val="DecimalAligned"/>
              <w:jc w:val="right"/>
            </w:pPr>
            <w:r>
              <w:t>1,053,606</w:t>
            </w:r>
          </w:p>
        </w:tc>
      </w:tr>
      <w:tr w:rsidR="0079552E" w:rsidRPr="00980D80" w:rsidTr="00D302EF">
        <w:tc>
          <w:tcPr>
            <w:tcW w:w="3199" w:type="pct"/>
            <w:noWrap/>
          </w:tcPr>
          <w:p w:rsidR="0079552E" w:rsidRDefault="0079552E" w:rsidP="00D302EF">
            <w:pPr>
              <w:rPr>
                <w:b w:val="0"/>
                <w:sz w:val="22"/>
              </w:rPr>
            </w:pPr>
            <w:r>
              <w:rPr>
                <w:b w:val="0"/>
                <w:sz w:val="22"/>
              </w:rPr>
              <w:t>Short Term Loans</w:t>
            </w:r>
          </w:p>
        </w:tc>
        <w:tc>
          <w:tcPr>
            <w:tcW w:w="901" w:type="pct"/>
          </w:tcPr>
          <w:p w:rsidR="0079552E" w:rsidRDefault="00F24F89" w:rsidP="00D302EF">
            <w:pPr>
              <w:pStyle w:val="DecimalAligned"/>
              <w:jc w:val="right"/>
            </w:pPr>
            <w:r>
              <w:t>2,138,800</w:t>
            </w:r>
          </w:p>
        </w:tc>
        <w:tc>
          <w:tcPr>
            <w:tcW w:w="900" w:type="pct"/>
          </w:tcPr>
          <w:p w:rsidR="0079552E" w:rsidRDefault="00F24F89" w:rsidP="00D302EF">
            <w:pPr>
              <w:pStyle w:val="DecimalAligned"/>
              <w:jc w:val="right"/>
            </w:pPr>
            <w:r>
              <w:t>0</w:t>
            </w:r>
          </w:p>
        </w:tc>
      </w:tr>
      <w:tr w:rsidR="0079552E" w:rsidRPr="00980D80" w:rsidTr="00D302EF">
        <w:tc>
          <w:tcPr>
            <w:tcW w:w="3199" w:type="pct"/>
            <w:noWrap/>
          </w:tcPr>
          <w:p w:rsidR="0079552E" w:rsidRDefault="0079552E" w:rsidP="00D302EF">
            <w:pPr>
              <w:rPr>
                <w:b w:val="0"/>
                <w:sz w:val="22"/>
              </w:rPr>
            </w:pPr>
            <w:r>
              <w:rPr>
                <w:b w:val="0"/>
                <w:sz w:val="22"/>
              </w:rPr>
              <w:t>Interest</w:t>
            </w:r>
          </w:p>
        </w:tc>
        <w:tc>
          <w:tcPr>
            <w:tcW w:w="901" w:type="pct"/>
          </w:tcPr>
          <w:p w:rsidR="0079552E" w:rsidRDefault="00F24F89" w:rsidP="00D302EF">
            <w:pPr>
              <w:pStyle w:val="DecimalAligned"/>
              <w:jc w:val="right"/>
            </w:pPr>
            <w:r>
              <w:t>143,327</w:t>
            </w:r>
          </w:p>
        </w:tc>
        <w:tc>
          <w:tcPr>
            <w:tcW w:w="900" w:type="pct"/>
          </w:tcPr>
          <w:p w:rsidR="0079552E" w:rsidRDefault="00F24F89" w:rsidP="00D302EF">
            <w:pPr>
              <w:pStyle w:val="DecimalAligned"/>
              <w:jc w:val="right"/>
            </w:pPr>
            <w:r>
              <w:t>29,860</w:t>
            </w:r>
          </w:p>
        </w:tc>
      </w:tr>
      <w:tr w:rsidR="0079552E" w:rsidRPr="00980D80" w:rsidTr="00D302EF">
        <w:tc>
          <w:tcPr>
            <w:tcW w:w="3199" w:type="pct"/>
            <w:noWrap/>
          </w:tcPr>
          <w:p w:rsidR="0079552E" w:rsidRDefault="0079552E" w:rsidP="00D302EF">
            <w:pPr>
              <w:rPr>
                <w:b w:val="0"/>
                <w:sz w:val="22"/>
              </w:rPr>
            </w:pPr>
            <w:r>
              <w:rPr>
                <w:b w:val="0"/>
                <w:sz w:val="22"/>
              </w:rPr>
              <w:t>Amounts owed to the Council</w:t>
            </w:r>
          </w:p>
        </w:tc>
        <w:tc>
          <w:tcPr>
            <w:tcW w:w="901" w:type="pct"/>
          </w:tcPr>
          <w:p w:rsidR="0079552E" w:rsidRDefault="00F24F89" w:rsidP="00D302EF">
            <w:pPr>
              <w:pStyle w:val="DecimalAligned"/>
              <w:jc w:val="right"/>
            </w:pPr>
            <w:r>
              <w:t>131,098</w:t>
            </w:r>
          </w:p>
        </w:tc>
        <w:tc>
          <w:tcPr>
            <w:tcW w:w="900" w:type="pct"/>
          </w:tcPr>
          <w:p w:rsidR="0079552E" w:rsidRDefault="00F24F89" w:rsidP="00D302EF">
            <w:pPr>
              <w:pStyle w:val="DecimalAligned"/>
              <w:jc w:val="right"/>
            </w:pPr>
            <w:r>
              <w:t>494,448</w:t>
            </w:r>
          </w:p>
        </w:tc>
      </w:tr>
      <w:tr w:rsidR="0079552E" w:rsidRPr="00980D80" w:rsidTr="00D302EF">
        <w:tc>
          <w:tcPr>
            <w:tcW w:w="3199" w:type="pct"/>
            <w:noWrap/>
          </w:tcPr>
          <w:p w:rsidR="0079552E" w:rsidRDefault="0079552E" w:rsidP="00D302EF">
            <w:pPr>
              <w:rPr>
                <w:b w:val="0"/>
                <w:sz w:val="22"/>
              </w:rPr>
            </w:pPr>
            <w:r>
              <w:rPr>
                <w:b w:val="0"/>
                <w:sz w:val="22"/>
              </w:rPr>
              <w:t>Rental Income owed by the Council</w:t>
            </w:r>
          </w:p>
        </w:tc>
        <w:tc>
          <w:tcPr>
            <w:tcW w:w="901" w:type="pct"/>
          </w:tcPr>
          <w:p w:rsidR="0079552E" w:rsidRDefault="00F24F89" w:rsidP="00D302EF">
            <w:pPr>
              <w:pStyle w:val="DecimalAligned"/>
              <w:jc w:val="right"/>
            </w:pPr>
            <w:r>
              <w:t>(221,901)</w:t>
            </w:r>
          </w:p>
        </w:tc>
        <w:tc>
          <w:tcPr>
            <w:tcW w:w="900" w:type="pct"/>
          </w:tcPr>
          <w:p w:rsidR="0079552E" w:rsidRDefault="00F24F89" w:rsidP="00D302EF">
            <w:pPr>
              <w:pStyle w:val="DecimalAligned"/>
              <w:jc w:val="right"/>
            </w:pPr>
            <w:r>
              <w:t>(53,953)</w:t>
            </w:r>
          </w:p>
        </w:tc>
      </w:tr>
      <w:tr w:rsidR="0079552E" w:rsidRPr="00980D80" w:rsidTr="00D302EF">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79552E" w:rsidRPr="00980D80" w:rsidRDefault="0079552E" w:rsidP="00D302EF">
            <w:pPr>
              <w:rPr>
                <w:sz w:val="22"/>
              </w:rPr>
            </w:pPr>
            <w:r>
              <w:rPr>
                <w:sz w:val="22"/>
              </w:rPr>
              <w:t>Related Party Transactions</w:t>
            </w:r>
          </w:p>
        </w:tc>
        <w:tc>
          <w:tcPr>
            <w:tcW w:w="901" w:type="pct"/>
            <w:tcBorders>
              <w:top w:val="single" w:sz="12" w:space="0" w:color="auto"/>
              <w:bottom w:val="nil"/>
            </w:tcBorders>
          </w:tcPr>
          <w:p w:rsidR="0079552E" w:rsidRPr="00980D80" w:rsidRDefault="00F24F89" w:rsidP="00D302EF">
            <w:pPr>
              <w:pStyle w:val="DecimalAligned"/>
              <w:jc w:val="right"/>
              <w:rPr>
                <w:b/>
              </w:rPr>
            </w:pPr>
            <w:r>
              <w:rPr>
                <w:b/>
              </w:rPr>
              <w:t>6,517,994</w:t>
            </w:r>
          </w:p>
        </w:tc>
        <w:tc>
          <w:tcPr>
            <w:tcW w:w="900" w:type="pct"/>
            <w:tcBorders>
              <w:top w:val="single" w:sz="12" w:space="0" w:color="auto"/>
              <w:bottom w:val="nil"/>
            </w:tcBorders>
          </w:tcPr>
          <w:p w:rsidR="0079552E" w:rsidRPr="00980D80" w:rsidRDefault="00F24F89" w:rsidP="00D302EF">
            <w:pPr>
              <w:pStyle w:val="DecimalAligned"/>
              <w:jc w:val="right"/>
              <w:rPr>
                <w:b/>
              </w:rPr>
            </w:pPr>
            <w:r>
              <w:rPr>
                <w:b/>
              </w:rPr>
              <w:t>1,523,961</w:t>
            </w:r>
          </w:p>
        </w:tc>
      </w:tr>
    </w:tbl>
    <w:p w:rsidR="00C3688C" w:rsidRDefault="00C3688C" w:rsidP="00C3688C">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u w:val="single"/>
        </w:rPr>
        <w:t>Audit Fee</w:t>
      </w:r>
    </w:p>
    <w:p w:rsidR="00C3688C" w:rsidRDefault="00C3688C" w:rsidP="00C3688C">
      <w:pPr>
        <w:rPr>
          <w:rFonts w:cstheme="minorHAnsi"/>
          <w:szCs w:val="28"/>
        </w:rPr>
      </w:pPr>
    </w:p>
    <w:tbl>
      <w:tblPr>
        <w:tblStyle w:val="MediumShading2-Accent5"/>
        <w:tblW w:w="4237" w:type="pct"/>
        <w:tblLook w:val="0660" w:firstRow="1" w:lastRow="1" w:firstColumn="0" w:lastColumn="0" w:noHBand="1" w:noVBand="1"/>
      </w:tblPr>
      <w:tblGrid>
        <w:gridCol w:w="5505"/>
        <w:gridCol w:w="1550"/>
        <w:gridCol w:w="1549"/>
      </w:tblGrid>
      <w:tr w:rsidR="00C3688C" w:rsidTr="00D302EF">
        <w:trPr>
          <w:cnfStyle w:val="100000000000" w:firstRow="1" w:lastRow="0" w:firstColumn="0" w:lastColumn="0" w:oddVBand="0" w:evenVBand="0" w:oddHBand="0" w:evenHBand="0" w:firstRowFirstColumn="0" w:firstRowLastColumn="0" w:lastRowFirstColumn="0" w:lastRowLastColumn="0"/>
        </w:trPr>
        <w:tc>
          <w:tcPr>
            <w:tcW w:w="3199" w:type="pct"/>
            <w:shd w:val="clear" w:color="auto" w:fill="0070C0"/>
            <w:noWrap/>
          </w:tcPr>
          <w:p w:rsidR="00C3688C" w:rsidRPr="000349B6" w:rsidRDefault="00C3688C" w:rsidP="00D302EF">
            <w:pPr>
              <w:rPr>
                <w:b/>
                <w:color w:val="FFFFFF" w:themeColor="background1"/>
              </w:rPr>
            </w:pPr>
          </w:p>
        </w:tc>
        <w:tc>
          <w:tcPr>
            <w:tcW w:w="901" w:type="pct"/>
            <w:shd w:val="clear" w:color="auto" w:fill="0070C0"/>
          </w:tcPr>
          <w:p w:rsidR="00C3688C" w:rsidRPr="000349B6" w:rsidRDefault="00C3688C" w:rsidP="00D302EF">
            <w:pPr>
              <w:jc w:val="right"/>
              <w:rPr>
                <w:b/>
                <w:color w:val="FFFFFF" w:themeColor="background1"/>
              </w:rPr>
            </w:pPr>
            <w:r>
              <w:rPr>
                <w:b/>
                <w:color w:val="FFFFFF" w:themeColor="background1"/>
              </w:rPr>
              <w:t>2018/19</w:t>
            </w:r>
          </w:p>
        </w:tc>
        <w:tc>
          <w:tcPr>
            <w:tcW w:w="900" w:type="pct"/>
            <w:shd w:val="clear" w:color="auto" w:fill="0070C0"/>
          </w:tcPr>
          <w:p w:rsidR="00C3688C" w:rsidRPr="000349B6" w:rsidRDefault="00C3688C" w:rsidP="00D302EF">
            <w:pPr>
              <w:jc w:val="center"/>
              <w:rPr>
                <w:b/>
                <w:color w:val="FFFFFF" w:themeColor="background1"/>
              </w:rPr>
            </w:pPr>
            <w:r>
              <w:rPr>
                <w:b/>
                <w:color w:val="FFFFFF" w:themeColor="background1"/>
              </w:rPr>
              <w:t>2017/18</w:t>
            </w:r>
          </w:p>
        </w:tc>
      </w:tr>
      <w:tr w:rsidR="00C3688C" w:rsidRPr="00980D80" w:rsidTr="00D302EF">
        <w:tc>
          <w:tcPr>
            <w:tcW w:w="3199" w:type="pct"/>
            <w:tcBorders>
              <w:top w:val="single" w:sz="18" w:space="0" w:color="auto"/>
              <w:bottom w:val="nil"/>
            </w:tcBorders>
            <w:noWrap/>
          </w:tcPr>
          <w:p w:rsidR="00C3688C" w:rsidRPr="00980D80" w:rsidRDefault="00C3688C" w:rsidP="00D302EF">
            <w:pPr>
              <w:rPr>
                <w:sz w:val="22"/>
              </w:rPr>
            </w:pPr>
          </w:p>
        </w:tc>
        <w:tc>
          <w:tcPr>
            <w:tcW w:w="901" w:type="pct"/>
            <w:tcBorders>
              <w:top w:val="single" w:sz="18" w:space="0" w:color="auto"/>
              <w:bottom w:val="nil"/>
            </w:tcBorders>
          </w:tcPr>
          <w:p w:rsidR="00C3688C" w:rsidRPr="00980D80" w:rsidRDefault="00C3688C" w:rsidP="00D302EF">
            <w:pPr>
              <w:jc w:val="right"/>
              <w:rPr>
                <w:i/>
                <w:sz w:val="22"/>
              </w:rPr>
            </w:pPr>
            <w:r w:rsidRPr="00980D80">
              <w:rPr>
                <w:i/>
                <w:sz w:val="22"/>
              </w:rPr>
              <w:t>£</w:t>
            </w:r>
          </w:p>
        </w:tc>
        <w:tc>
          <w:tcPr>
            <w:tcW w:w="900" w:type="pct"/>
            <w:tcBorders>
              <w:top w:val="single" w:sz="18" w:space="0" w:color="auto"/>
              <w:bottom w:val="nil"/>
            </w:tcBorders>
          </w:tcPr>
          <w:p w:rsidR="00C3688C" w:rsidRPr="00EC1D88" w:rsidRDefault="00C3688C" w:rsidP="00D302EF">
            <w:pPr>
              <w:jc w:val="right"/>
              <w:rPr>
                <w:i/>
                <w:sz w:val="22"/>
              </w:rPr>
            </w:pPr>
            <w:r w:rsidRPr="00EC1D88">
              <w:rPr>
                <w:i/>
                <w:sz w:val="22"/>
              </w:rPr>
              <w:t>£</w:t>
            </w:r>
          </w:p>
        </w:tc>
      </w:tr>
      <w:tr w:rsidR="00C3688C" w:rsidRPr="00980D80" w:rsidTr="00D302EF">
        <w:tc>
          <w:tcPr>
            <w:tcW w:w="3199" w:type="pct"/>
            <w:noWrap/>
          </w:tcPr>
          <w:p w:rsidR="00C3688C" w:rsidRPr="00980D80" w:rsidRDefault="00C3688C" w:rsidP="00D302EF">
            <w:pPr>
              <w:rPr>
                <w:b w:val="0"/>
                <w:sz w:val="22"/>
              </w:rPr>
            </w:pPr>
            <w:r>
              <w:rPr>
                <w:b w:val="0"/>
                <w:sz w:val="22"/>
              </w:rPr>
              <w:t>Audit Fee – Audit of Accounts</w:t>
            </w:r>
          </w:p>
        </w:tc>
        <w:tc>
          <w:tcPr>
            <w:tcW w:w="901" w:type="pct"/>
          </w:tcPr>
          <w:p w:rsidR="00C3688C" w:rsidRPr="00980D80" w:rsidRDefault="00C3688C" w:rsidP="00D302EF">
            <w:pPr>
              <w:pStyle w:val="DecimalAligned"/>
              <w:jc w:val="right"/>
            </w:pPr>
            <w:r>
              <w:t>10,000</w:t>
            </w:r>
          </w:p>
        </w:tc>
        <w:tc>
          <w:tcPr>
            <w:tcW w:w="900" w:type="pct"/>
          </w:tcPr>
          <w:p w:rsidR="00C3688C" w:rsidRPr="00980D80" w:rsidRDefault="00C3688C" w:rsidP="00D302EF">
            <w:pPr>
              <w:pStyle w:val="DecimalAligned"/>
              <w:jc w:val="right"/>
            </w:pPr>
            <w:r>
              <w:t>10,000</w:t>
            </w:r>
          </w:p>
        </w:tc>
      </w:tr>
      <w:tr w:rsidR="00C3688C" w:rsidRPr="00980D80" w:rsidTr="00D302EF">
        <w:trPr>
          <w:cnfStyle w:val="010000000000" w:firstRow="0" w:lastRow="1" w:firstColumn="0" w:lastColumn="0" w:oddVBand="0" w:evenVBand="0" w:oddHBand="0" w:evenHBand="0" w:firstRowFirstColumn="0" w:firstRowLastColumn="0" w:lastRowFirstColumn="0" w:lastRowLastColumn="0"/>
        </w:trPr>
        <w:tc>
          <w:tcPr>
            <w:tcW w:w="3199" w:type="pct"/>
            <w:tcBorders>
              <w:top w:val="single" w:sz="12" w:space="0" w:color="auto"/>
              <w:bottom w:val="nil"/>
            </w:tcBorders>
            <w:noWrap/>
          </w:tcPr>
          <w:p w:rsidR="00C3688C" w:rsidRPr="00980D80" w:rsidRDefault="00C3688C" w:rsidP="00D302EF">
            <w:pPr>
              <w:rPr>
                <w:sz w:val="22"/>
              </w:rPr>
            </w:pPr>
            <w:r>
              <w:rPr>
                <w:sz w:val="22"/>
              </w:rPr>
              <w:t>Audit Fee</w:t>
            </w:r>
          </w:p>
        </w:tc>
        <w:tc>
          <w:tcPr>
            <w:tcW w:w="901" w:type="pct"/>
            <w:tcBorders>
              <w:top w:val="single" w:sz="12" w:space="0" w:color="auto"/>
              <w:bottom w:val="nil"/>
            </w:tcBorders>
          </w:tcPr>
          <w:p w:rsidR="00C3688C" w:rsidRPr="00980D80" w:rsidRDefault="00C3688C" w:rsidP="00D302EF">
            <w:pPr>
              <w:pStyle w:val="DecimalAligned"/>
              <w:jc w:val="right"/>
              <w:rPr>
                <w:b/>
              </w:rPr>
            </w:pPr>
            <w:r>
              <w:rPr>
                <w:b/>
              </w:rPr>
              <w:t>10,000</w:t>
            </w:r>
          </w:p>
        </w:tc>
        <w:tc>
          <w:tcPr>
            <w:tcW w:w="900" w:type="pct"/>
            <w:tcBorders>
              <w:top w:val="single" w:sz="12" w:space="0" w:color="auto"/>
              <w:bottom w:val="nil"/>
            </w:tcBorders>
          </w:tcPr>
          <w:p w:rsidR="00C3688C" w:rsidRPr="00980D80" w:rsidRDefault="00C3688C" w:rsidP="00D302EF">
            <w:pPr>
              <w:pStyle w:val="DecimalAligned"/>
              <w:jc w:val="right"/>
              <w:rPr>
                <w:b/>
              </w:rPr>
            </w:pPr>
            <w:r>
              <w:rPr>
                <w:b/>
              </w:rPr>
              <w:t>10,000</w:t>
            </w:r>
          </w:p>
        </w:tc>
      </w:tr>
    </w:tbl>
    <w:p w:rsidR="00527F28" w:rsidRPr="00C3688C" w:rsidRDefault="00C3688C" w:rsidP="00C3688C">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u w:val="single"/>
        </w:rPr>
        <w:t>Financial Instruments</w:t>
      </w:r>
    </w:p>
    <w:p w:rsidR="00C3688C" w:rsidRDefault="00C3688C" w:rsidP="00C3688C">
      <w:pPr>
        <w:pStyle w:val="ListParagraph"/>
        <w:ind w:left="720"/>
        <w:rPr>
          <w:rFonts w:asciiTheme="minorHAnsi" w:hAnsiTheme="minorHAnsi" w:cstheme="minorHAnsi"/>
          <w:sz w:val="28"/>
          <w:szCs w:val="28"/>
          <w:u w:val="single"/>
        </w:rPr>
      </w:pPr>
    </w:p>
    <w:p w:rsidR="00C3688C" w:rsidRPr="00C3688C" w:rsidRDefault="00C3688C" w:rsidP="00C3688C">
      <w:pPr>
        <w:pStyle w:val="ListParagraph"/>
        <w:ind w:left="720"/>
        <w:rPr>
          <w:rFonts w:asciiTheme="minorHAnsi" w:hAnsiTheme="minorHAnsi" w:cstheme="minorHAnsi"/>
          <w:sz w:val="28"/>
          <w:szCs w:val="28"/>
        </w:rPr>
      </w:pPr>
      <w:r w:rsidRPr="00C3688C">
        <w:rPr>
          <w:rFonts w:asciiTheme="minorHAnsi" w:hAnsiTheme="minorHAnsi" w:cstheme="minorHAnsi"/>
          <w:sz w:val="28"/>
          <w:szCs w:val="28"/>
        </w:rPr>
        <w:t>The main risks arising from the Group’s financial instruments are interest rate risk, liquidity risk and credit risk. The directors regularly review and agree policies for managing each of these risks which are summarised below.</w:t>
      </w:r>
    </w:p>
    <w:p w:rsidR="00C3688C" w:rsidRPr="00C3688C" w:rsidRDefault="00C3688C" w:rsidP="00C3688C">
      <w:pPr>
        <w:pStyle w:val="ListParagraph"/>
        <w:ind w:left="720"/>
        <w:rPr>
          <w:rFonts w:asciiTheme="minorHAnsi" w:hAnsiTheme="minorHAnsi" w:cstheme="minorHAnsi"/>
          <w:sz w:val="28"/>
          <w:szCs w:val="28"/>
        </w:rPr>
      </w:pPr>
    </w:p>
    <w:p w:rsidR="00C3688C" w:rsidRPr="00C3688C" w:rsidRDefault="00C3688C" w:rsidP="00C3688C">
      <w:pPr>
        <w:pStyle w:val="ListParagraph"/>
        <w:ind w:left="720"/>
        <w:rPr>
          <w:rFonts w:asciiTheme="minorHAnsi" w:hAnsiTheme="minorHAnsi" w:cstheme="minorHAnsi"/>
          <w:i/>
          <w:sz w:val="28"/>
          <w:szCs w:val="28"/>
        </w:rPr>
      </w:pPr>
      <w:r w:rsidRPr="00C3688C">
        <w:rPr>
          <w:rFonts w:asciiTheme="minorHAnsi" w:hAnsiTheme="minorHAnsi" w:cstheme="minorHAnsi"/>
          <w:i/>
          <w:sz w:val="28"/>
          <w:szCs w:val="28"/>
        </w:rPr>
        <w:t>Interest rate risk</w:t>
      </w:r>
    </w:p>
    <w:p w:rsidR="00C3688C" w:rsidRPr="00C3688C" w:rsidRDefault="00C3688C" w:rsidP="00C3688C">
      <w:pPr>
        <w:pStyle w:val="ListParagraph"/>
        <w:ind w:left="720"/>
        <w:rPr>
          <w:rFonts w:asciiTheme="minorHAnsi" w:hAnsiTheme="minorHAnsi" w:cstheme="minorHAnsi"/>
          <w:sz w:val="28"/>
          <w:szCs w:val="28"/>
        </w:rPr>
      </w:pPr>
      <w:r w:rsidRPr="00C3688C">
        <w:rPr>
          <w:rFonts w:asciiTheme="minorHAnsi" w:hAnsiTheme="minorHAnsi" w:cstheme="minorHAnsi"/>
          <w:sz w:val="28"/>
          <w:szCs w:val="28"/>
        </w:rPr>
        <w:t>The Group’s exposure to the risk of changes in market interest rates is limited because its debt obligations are at fixed rates of interest, established at a time when prevailing rates are low. All such borrowings are denominated in Sterling.</w:t>
      </w:r>
    </w:p>
    <w:p w:rsidR="00C3688C" w:rsidRPr="00C3688C" w:rsidRDefault="00C3688C" w:rsidP="00C3688C">
      <w:pPr>
        <w:pStyle w:val="ListParagraph"/>
        <w:ind w:left="720"/>
        <w:rPr>
          <w:rFonts w:asciiTheme="minorHAnsi" w:hAnsiTheme="minorHAnsi" w:cstheme="minorHAnsi"/>
          <w:sz w:val="28"/>
          <w:szCs w:val="28"/>
        </w:rPr>
      </w:pPr>
      <w:r w:rsidRPr="00C3688C">
        <w:rPr>
          <w:rFonts w:asciiTheme="minorHAnsi" w:hAnsiTheme="minorHAnsi" w:cstheme="minorHAnsi"/>
          <w:sz w:val="28"/>
          <w:szCs w:val="28"/>
        </w:rPr>
        <w:t>The rates of interest are 3.86% and 3.76%.The amount outstanding is shown in note 18 to the financial statements. There is no difference between the values shown above and the fair values of the arrangements.</w:t>
      </w:r>
    </w:p>
    <w:p w:rsidR="00C3688C" w:rsidRPr="00C3688C" w:rsidRDefault="00C3688C" w:rsidP="00C3688C">
      <w:pPr>
        <w:pStyle w:val="ListParagraph"/>
        <w:ind w:left="720"/>
        <w:rPr>
          <w:rFonts w:asciiTheme="minorHAnsi" w:hAnsiTheme="minorHAnsi" w:cstheme="minorHAnsi"/>
          <w:sz w:val="28"/>
          <w:szCs w:val="28"/>
        </w:rPr>
      </w:pPr>
    </w:p>
    <w:p w:rsidR="00C3688C" w:rsidRPr="00C3688C" w:rsidRDefault="00C3688C" w:rsidP="00C3688C">
      <w:pPr>
        <w:pStyle w:val="ListParagraph"/>
        <w:ind w:left="720"/>
        <w:rPr>
          <w:rFonts w:asciiTheme="minorHAnsi" w:hAnsiTheme="minorHAnsi" w:cstheme="minorHAnsi"/>
          <w:i/>
          <w:sz w:val="28"/>
          <w:szCs w:val="28"/>
        </w:rPr>
      </w:pPr>
      <w:r w:rsidRPr="00C3688C">
        <w:rPr>
          <w:rFonts w:asciiTheme="minorHAnsi" w:hAnsiTheme="minorHAnsi" w:cstheme="minorHAnsi"/>
          <w:i/>
          <w:sz w:val="28"/>
          <w:szCs w:val="28"/>
        </w:rPr>
        <w:t>Credit risk</w:t>
      </w:r>
    </w:p>
    <w:p w:rsidR="00C3688C" w:rsidRPr="00C3688C" w:rsidRDefault="00C3688C" w:rsidP="00C3688C">
      <w:pPr>
        <w:pStyle w:val="ListParagraph"/>
        <w:ind w:left="720"/>
        <w:rPr>
          <w:rFonts w:asciiTheme="minorHAnsi" w:hAnsiTheme="minorHAnsi" w:cstheme="minorHAnsi"/>
          <w:sz w:val="28"/>
          <w:szCs w:val="28"/>
        </w:rPr>
      </w:pPr>
      <w:r w:rsidRPr="00C3688C">
        <w:rPr>
          <w:rFonts w:asciiTheme="minorHAnsi" w:hAnsiTheme="minorHAnsi" w:cstheme="minorHAnsi"/>
          <w:sz w:val="28"/>
          <w:szCs w:val="28"/>
        </w:rPr>
        <w:t xml:space="preserve">Credit risk is managed on a company basis. Credit risk arises principally from cash and cash equivalents and deposits with banks and financial institutions as well as credit exposure to customers including committed transactions and outstanding receivables. The Group reviews its banking arrangements carefully to minimise such risks and has put in place credit control procedures to mitigate against risks arising from customers.  </w:t>
      </w:r>
    </w:p>
    <w:p w:rsidR="00C3688C" w:rsidRPr="00C3688C" w:rsidRDefault="00C3688C" w:rsidP="00C3688C">
      <w:pPr>
        <w:pStyle w:val="ListParagraph"/>
        <w:ind w:left="720"/>
        <w:rPr>
          <w:rFonts w:asciiTheme="minorHAnsi" w:hAnsiTheme="minorHAnsi" w:cstheme="minorHAnsi"/>
          <w:sz w:val="28"/>
          <w:szCs w:val="28"/>
        </w:rPr>
      </w:pPr>
    </w:p>
    <w:p w:rsidR="00C3688C" w:rsidRPr="00C3688C" w:rsidRDefault="00C3688C" w:rsidP="00C3688C">
      <w:pPr>
        <w:pStyle w:val="ListParagraph"/>
        <w:ind w:left="720"/>
        <w:rPr>
          <w:rFonts w:asciiTheme="minorHAnsi" w:hAnsiTheme="minorHAnsi" w:cstheme="minorHAnsi"/>
          <w:i/>
          <w:sz w:val="28"/>
          <w:szCs w:val="28"/>
        </w:rPr>
      </w:pPr>
      <w:r w:rsidRPr="00C3688C">
        <w:rPr>
          <w:rFonts w:asciiTheme="minorHAnsi" w:hAnsiTheme="minorHAnsi" w:cstheme="minorHAnsi"/>
          <w:i/>
          <w:sz w:val="28"/>
          <w:szCs w:val="28"/>
        </w:rPr>
        <w:t>Liquidity risk</w:t>
      </w:r>
    </w:p>
    <w:p w:rsidR="00C3688C" w:rsidRPr="00C3688C" w:rsidRDefault="00C3688C" w:rsidP="00C3688C">
      <w:pPr>
        <w:pStyle w:val="ListParagraph"/>
        <w:ind w:left="720"/>
        <w:rPr>
          <w:rFonts w:asciiTheme="minorHAnsi" w:hAnsiTheme="minorHAnsi" w:cstheme="minorHAnsi"/>
          <w:sz w:val="28"/>
          <w:szCs w:val="28"/>
        </w:rPr>
      </w:pPr>
      <w:r w:rsidRPr="00C3688C">
        <w:rPr>
          <w:rFonts w:asciiTheme="minorHAnsi" w:hAnsiTheme="minorHAnsi" w:cstheme="minorHAnsi"/>
          <w:sz w:val="28"/>
          <w:szCs w:val="28"/>
        </w:rPr>
        <w:t>Management monitors monthly forecasts of the Group’s expected cash flows to ensure that a sufficiently liquid position is maintained. The rental income stream and cost base is predictable and the Group has sought support from its parent undertaking during the initial set up period.</w:t>
      </w:r>
    </w:p>
    <w:p w:rsidR="00527F28" w:rsidRPr="00527F28" w:rsidRDefault="00527F28" w:rsidP="00527F28">
      <w:pPr>
        <w:pStyle w:val="ListParagraph"/>
        <w:rPr>
          <w:rFonts w:asciiTheme="minorHAnsi" w:hAnsiTheme="minorHAnsi" w:cstheme="minorHAnsi"/>
          <w:sz w:val="28"/>
          <w:szCs w:val="28"/>
        </w:rPr>
      </w:pPr>
    </w:p>
    <w:p w:rsidR="00C3688C" w:rsidRPr="00C3688C" w:rsidRDefault="00C3688C" w:rsidP="00C3688C">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u w:val="single"/>
        </w:rPr>
        <w:t>Capital Risk Management</w:t>
      </w:r>
    </w:p>
    <w:p w:rsidR="00C3688C" w:rsidRDefault="00C3688C" w:rsidP="00C3688C">
      <w:pPr>
        <w:pStyle w:val="ListParagraph"/>
        <w:ind w:left="720"/>
        <w:rPr>
          <w:rFonts w:asciiTheme="minorHAnsi" w:hAnsiTheme="minorHAnsi" w:cstheme="minorHAnsi"/>
          <w:sz w:val="28"/>
          <w:szCs w:val="28"/>
          <w:u w:val="single"/>
        </w:rPr>
      </w:pPr>
    </w:p>
    <w:p w:rsidR="00C3688C" w:rsidRPr="00C3688C" w:rsidRDefault="00C3688C" w:rsidP="00C3688C">
      <w:pPr>
        <w:pStyle w:val="ListParagraph"/>
        <w:ind w:left="720"/>
        <w:rPr>
          <w:rFonts w:asciiTheme="minorHAnsi" w:hAnsiTheme="minorHAnsi" w:cstheme="minorHAnsi"/>
          <w:sz w:val="28"/>
          <w:szCs w:val="28"/>
        </w:rPr>
      </w:pPr>
      <w:r w:rsidRPr="00C3688C">
        <w:rPr>
          <w:rFonts w:asciiTheme="minorHAnsi" w:hAnsiTheme="minorHAnsi" w:cstheme="minorHAnsi"/>
          <w:sz w:val="28"/>
          <w:szCs w:val="28"/>
        </w:rPr>
        <w:t xml:space="preserve">The Group’s objectives when managing capital are to safeguard the Group’s ability to continue as a going concern in order to achieve the Group’s objectives. </w:t>
      </w:r>
    </w:p>
    <w:p w:rsidR="00527F28" w:rsidRDefault="00C3688C" w:rsidP="00C3688C">
      <w:pPr>
        <w:pStyle w:val="ListParagraph"/>
        <w:ind w:left="720"/>
        <w:rPr>
          <w:rFonts w:asciiTheme="minorHAnsi" w:hAnsiTheme="minorHAnsi" w:cstheme="minorHAnsi"/>
          <w:sz w:val="28"/>
          <w:szCs w:val="28"/>
        </w:rPr>
      </w:pPr>
      <w:r w:rsidRPr="00C3688C">
        <w:rPr>
          <w:rFonts w:asciiTheme="minorHAnsi" w:hAnsiTheme="minorHAnsi" w:cstheme="minorHAnsi"/>
          <w:sz w:val="28"/>
          <w:szCs w:val="28"/>
        </w:rPr>
        <w:t>In order to maintain or adjust the capital structure, the Group may adjust the amount of dividends paid to shareholders, return capital to shareholders or issue new shares to reduce debt.</w:t>
      </w:r>
      <w:r w:rsidR="00527F28">
        <w:rPr>
          <w:rFonts w:asciiTheme="minorHAnsi" w:hAnsiTheme="minorHAnsi" w:cstheme="minorHAnsi"/>
          <w:sz w:val="28"/>
          <w:szCs w:val="28"/>
        </w:rPr>
        <w:tab/>
      </w:r>
    </w:p>
    <w:p w:rsidR="009F2903" w:rsidRPr="009F2903" w:rsidRDefault="009F2903" w:rsidP="009F2903">
      <w:pPr>
        <w:pStyle w:val="ListParagraph"/>
        <w:rPr>
          <w:rFonts w:asciiTheme="minorHAnsi" w:hAnsiTheme="minorHAnsi" w:cstheme="minorHAnsi"/>
          <w:sz w:val="28"/>
          <w:szCs w:val="28"/>
        </w:rPr>
      </w:pPr>
    </w:p>
    <w:sectPr w:rsidR="009F2903" w:rsidRPr="009F2903" w:rsidSect="00E1529E">
      <w:pgSz w:w="12240" w:h="15840"/>
      <w:pgMar w:top="720" w:right="1151" w:bottom="720" w:left="1151" w:header="0" w:footer="289"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15" w:rsidRDefault="00653A15">
      <w:r>
        <w:separator/>
      </w:r>
    </w:p>
    <w:p w:rsidR="00653A15" w:rsidRDefault="00653A15"/>
  </w:endnote>
  <w:endnote w:type="continuationSeparator" w:id="0">
    <w:p w:rsidR="00653A15" w:rsidRDefault="00653A15">
      <w:r>
        <w:continuationSeparator/>
      </w:r>
    </w:p>
    <w:p w:rsidR="00653A15" w:rsidRDefault="00653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7333"/>
      <w:docPartObj>
        <w:docPartGallery w:val="Page Numbers (Bottom of Page)"/>
        <w:docPartUnique/>
      </w:docPartObj>
    </w:sdtPr>
    <w:sdtEndPr>
      <w:rPr>
        <w:color w:val="7F7F7F" w:themeColor="background1" w:themeShade="7F"/>
        <w:spacing w:val="60"/>
      </w:rPr>
    </w:sdtEndPr>
    <w:sdtContent>
      <w:p w:rsidR="00CD29D1" w:rsidRDefault="00CD29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0341">
          <w:rPr>
            <w:noProof/>
          </w:rPr>
          <w:t>1</w:t>
        </w:r>
        <w:r>
          <w:rPr>
            <w:noProof/>
          </w:rPr>
          <w:fldChar w:fldCharType="end"/>
        </w:r>
        <w:r>
          <w:t xml:space="preserve"> | </w:t>
        </w:r>
        <w:r>
          <w:rPr>
            <w:color w:val="7F7F7F" w:themeColor="background1" w:themeShade="7F"/>
            <w:spacing w:val="60"/>
          </w:rPr>
          <w:t>Page</w:t>
        </w:r>
      </w:p>
    </w:sdtContent>
  </w:sdt>
  <w:p w:rsidR="00CD29D1" w:rsidRDefault="00CD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15" w:rsidRDefault="00653A15">
      <w:r>
        <w:separator/>
      </w:r>
    </w:p>
    <w:p w:rsidR="00653A15" w:rsidRDefault="00653A15"/>
  </w:footnote>
  <w:footnote w:type="continuationSeparator" w:id="0">
    <w:p w:rsidR="00653A15" w:rsidRDefault="00653A15">
      <w:r>
        <w:continuationSeparator/>
      </w:r>
    </w:p>
    <w:p w:rsidR="00653A15" w:rsidRDefault="00653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top w:val="single" w:sz="36" w:space="0" w:color="323232" w:themeColor="text2"/>
        <w:left w:val="single" w:sz="36" w:space="0" w:color="323232" w:themeColor="text2"/>
        <w:bottom w:val="single" w:sz="36" w:space="0" w:color="323232" w:themeColor="text2"/>
        <w:right w:val="single" w:sz="36" w:space="0" w:color="323232" w:themeColor="text2"/>
        <w:insideH w:val="single" w:sz="36" w:space="0" w:color="323232" w:themeColor="text2"/>
        <w:insideV w:val="single" w:sz="36" w:space="0" w:color="323232" w:themeColor="text2"/>
      </w:tblBorders>
      <w:tblLook w:val="0000" w:firstRow="0" w:lastRow="0" w:firstColumn="0" w:lastColumn="0" w:noHBand="0" w:noVBand="0"/>
    </w:tblPr>
    <w:tblGrid>
      <w:gridCol w:w="9990"/>
    </w:tblGrid>
    <w:tr w:rsidR="00CD29D1" w:rsidTr="00D077E9">
      <w:trPr>
        <w:trHeight w:val="978"/>
      </w:trPr>
      <w:tc>
        <w:tcPr>
          <w:tcW w:w="9990" w:type="dxa"/>
          <w:tcBorders>
            <w:top w:val="nil"/>
            <w:left w:val="nil"/>
            <w:bottom w:val="single" w:sz="36" w:space="0" w:color="1B587C" w:themeColor="accent3"/>
            <w:right w:val="nil"/>
          </w:tcBorders>
        </w:tcPr>
        <w:p w:rsidR="00CD29D1" w:rsidRDefault="00CD29D1">
          <w:pPr>
            <w:pStyle w:val="Header"/>
          </w:pPr>
          <w:r>
            <w:t>Registered no. 10212716</w:t>
          </w:r>
        </w:p>
      </w:tc>
    </w:tr>
  </w:tbl>
  <w:p w:rsidR="00CD29D1" w:rsidRDefault="00CD29D1" w:rsidP="00D0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B2"/>
    <w:multiLevelType w:val="hybridMultilevel"/>
    <w:tmpl w:val="9C6A1A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36482"/>
    <w:multiLevelType w:val="hybridMultilevel"/>
    <w:tmpl w:val="13DAF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371BE3"/>
    <w:multiLevelType w:val="hybridMultilevel"/>
    <w:tmpl w:val="FF8C5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F15ABE"/>
    <w:multiLevelType w:val="hybridMultilevel"/>
    <w:tmpl w:val="C194D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F259DC"/>
    <w:multiLevelType w:val="hybridMultilevel"/>
    <w:tmpl w:val="CD6EA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336EB0"/>
    <w:multiLevelType w:val="hybridMultilevel"/>
    <w:tmpl w:val="88024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247748"/>
    <w:multiLevelType w:val="hybridMultilevel"/>
    <w:tmpl w:val="BB1805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5755F82"/>
    <w:multiLevelType w:val="hybridMultilevel"/>
    <w:tmpl w:val="43769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033C7A"/>
    <w:multiLevelType w:val="hybridMultilevel"/>
    <w:tmpl w:val="41549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493E0B"/>
    <w:multiLevelType w:val="hybridMultilevel"/>
    <w:tmpl w:val="54665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A30210"/>
    <w:multiLevelType w:val="hybridMultilevel"/>
    <w:tmpl w:val="9C20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5"/>
  </w:num>
  <w:num w:numId="6">
    <w:abstractNumId w:val="7"/>
  </w:num>
  <w:num w:numId="7">
    <w:abstractNumId w:val="0"/>
  </w:num>
  <w:num w:numId="8">
    <w:abstractNumId w:val="9"/>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38"/>
    <w:rsid w:val="00014381"/>
    <w:rsid w:val="0001742E"/>
    <w:rsid w:val="0002482E"/>
    <w:rsid w:val="00027084"/>
    <w:rsid w:val="0003261B"/>
    <w:rsid w:val="000349B6"/>
    <w:rsid w:val="00050324"/>
    <w:rsid w:val="000654AA"/>
    <w:rsid w:val="00066C4F"/>
    <w:rsid w:val="0007455E"/>
    <w:rsid w:val="000779E9"/>
    <w:rsid w:val="00082F80"/>
    <w:rsid w:val="000A0150"/>
    <w:rsid w:val="000E374C"/>
    <w:rsid w:val="000E63C9"/>
    <w:rsid w:val="000F1DC9"/>
    <w:rsid w:val="00103143"/>
    <w:rsid w:val="0012428B"/>
    <w:rsid w:val="00125DA1"/>
    <w:rsid w:val="00130921"/>
    <w:rsid w:val="00130E9D"/>
    <w:rsid w:val="00131658"/>
    <w:rsid w:val="0013660E"/>
    <w:rsid w:val="00150A6D"/>
    <w:rsid w:val="001545EC"/>
    <w:rsid w:val="001566D2"/>
    <w:rsid w:val="00160C5D"/>
    <w:rsid w:val="001713B0"/>
    <w:rsid w:val="00173B8B"/>
    <w:rsid w:val="00185B35"/>
    <w:rsid w:val="0019375F"/>
    <w:rsid w:val="00197F88"/>
    <w:rsid w:val="001C14B8"/>
    <w:rsid w:val="001D186D"/>
    <w:rsid w:val="001F1965"/>
    <w:rsid w:val="001F2BC8"/>
    <w:rsid w:val="001F5F6B"/>
    <w:rsid w:val="001F6DAE"/>
    <w:rsid w:val="00213275"/>
    <w:rsid w:val="00214BDF"/>
    <w:rsid w:val="002248D9"/>
    <w:rsid w:val="00231504"/>
    <w:rsid w:val="00231BBF"/>
    <w:rsid w:val="00243EBC"/>
    <w:rsid w:val="00246852"/>
    <w:rsid w:val="00246A35"/>
    <w:rsid w:val="00252AE3"/>
    <w:rsid w:val="00255D60"/>
    <w:rsid w:val="002805E8"/>
    <w:rsid w:val="00284348"/>
    <w:rsid w:val="00296B27"/>
    <w:rsid w:val="002A3CE2"/>
    <w:rsid w:val="002B6C21"/>
    <w:rsid w:val="002D0C5C"/>
    <w:rsid w:val="002D4F11"/>
    <w:rsid w:val="002D6697"/>
    <w:rsid w:val="002F51F5"/>
    <w:rsid w:val="00301B47"/>
    <w:rsid w:val="003063F5"/>
    <w:rsid w:val="00312137"/>
    <w:rsid w:val="00330359"/>
    <w:rsid w:val="0033762F"/>
    <w:rsid w:val="00353C70"/>
    <w:rsid w:val="00366C7E"/>
    <w:rsid w:val="00384EA3"/>
    <w:rsid w:val="00393185"/>
    <w:rsid w:val="003A39A1"/>
    <w:rsid w:val="003C2191"/>
    <w:rsid w:val="003C5BD3"/>
    <w:rsid w:val="003D3863"/>
    <w:rsid w:val="003F4D86"/>
    <w:rsid w:val="0040322E"/>
    <w:rsid w:val="00406AEA"/>
    <w:rsid w:val="004100F0"/>
    <w:rsid w:val="004110DE"/>
    <w:rsid w:val="004342AF"/>
    <w:rsid w:val="0044085A"/>
    <w:rsid w:val="00440968"/>
    <w:rsid w:val="00452CD9"/>
    <w:rsid w:val="0047121B"/>
    <w:rsid w:val="00474FE7"/>
    <w:rsid w:val="00477EF7"/>
    <w:rsid w:val="004B21A5"/>
    <w:rsid w:val="004C3B7F"/>
    <w:rsid w:val="004D3338"/>
    <w:rsid w:val="004E3734"/>
    <w:rsid w:val="004F2733"/>
    <w:rsid w:val="005037F0"/>
    <w:rsid w:val="0051158D"/>
    <w:rsid w:val="00516A86"/>
    <w:rsid w:val="00523207"/>
    <w:rsid w:val="0052721A"/>
    <w:rsid w:val="005275F6"/>
    <w:rsid w:val="00527F28"/>
    <w:rsid w:val="00541569"/>
    <w:rsid w:val="0054462A"/>
    <w:rsid w:val="0054582F"/>
    <w:rsid w:val="00565E40"/>
    <w:rsid w:val="00572102"/>
    <w:rsid w:val="00594985"/>
    <w:rsid w:val="005A3A63"/>
    <w:rsid w:val="005B0EB3"/>
    <w:rsid w:val="005E0BB6"/>
    <w:rsid w:val="005E31E6"/>
    <w:rsid w:val="005F1BB0"/>
    <w:rsid w:val="0062392C"/>
    <w:rsid w:val="006247AB"/>
    <w:rsid w:val="00650B90"/>
    <w:rsid w:val="00653A15"/>
    <w:rsid w:val="00656305"/>
    <w:rsid w:val="00656C4D"/>
    <w:rsid w:val="006572D5"/>
    <w:rsid w:val="00673398"/>
    <w:rsid w:val="00695933"/>
    <w:rsid w:val="006B657F"/>
    <w:rsid w:val="006D318B"/>
    <w:rsid w:val="006E5716"/>
    <w:rsid w:val="00703A38"/>
    <w:rsid w:val="00712A58"/>
    <w:rsid w:val="00713751"/>
    <w:rsid w:val="00713D21"/>
    <w:rsid w:val="00721BCE"/>
    <w:rsid w:val="007249CD"/>
    <w:rsid w:val="007302B3"/>
    <w:rsid w:val="00730733"/>
    <w:rsid w:val="00730E3A"/>
    <w:rsid w:val="00736AAF"/>
    <w:rsid w:val="007431BC"/>
    <w:rsid w:val="00765B2A"/>
    <w:rsid w:val="00782B05"/>
    <w:rsid w:val="00783A34"/>
    <w:rsid w:val="0079552E"/>
    <w:rsid w:val="007971F9"/>
    <w:rsid w:val="007C6B52"/>
    <w:rsid w:val="007D16C5"/>
    <w:rsid w:val="007E02F4"/>
    <w:rsid w:val="00824111"/>
    <w:rsid w:val="00847027"/>
    <w:rsid w:val="00862FE4"/>
    <w:rsid w:val="0086389A"/>
    <w:rsid w:val="0087605E"/>
    <w:rsid w:val="0089478A"/>
    <w:rsid w:val="008A1473"/>
    <w:rsid w:val="008A4F4A"/>
    <w:rsid w:val="008A78B0"/>
    <w:rsid w:val="008A7FA9"/>
    <w:rsid w:val="008B1FEE"/>
    <w:rsid w:val="008B5AFA"/>
    <w:rsid w:val="008C5291"/>
    <w:rsid w:val="008D6E99"/>
    <w:rsid w:val="008E0E95"/>
    <w:rsid w:val="008E1901"/>
    <w:rsid w:val="008E7515"/>
    <w:rsid w:val="008F09FA"/>
    <w:rsid w:val="008F3D38"/>
    <w:rsid w:val="00903C32"/>
    <w:rsid w:val="00911A75"/>
    <w:rsid w:val="00916B16"/>
    <w:rsid w:val="0091709E"/>
    <w:rsid w:val="009173B9"/>
    <w:rsid w:val="00923BF3"/>
    <w:rsid w:val="0093335D"/>
    <w:rsid w:val="0093613E"/>
    <w:rsid w:val="009424D1"/>
    <w:rsid w:val="00943026"/>
    <w:rsid w:val="00944E11"/>
    <w:rsid w:val="00950341"/>
    <w:rsid w:val="009544B2"/>
    <w:rsid w:val="00966B81"/>
    <w:rsid w:val="00980D80"/>
    <w:rsid w:val="009A7AC8"/>
    <w:rsid w:val="009B752D"/>
    <w:rsid w:val="009C7720"/>
    <w:rsid w:val="009D1629"/>
    <w:rsid w:val="009D66F4"/>
    <w:rsid w:val="009E1063"/>
    <w:rsid w:val="009E1B24"/>
    <w:rsid w:val="009F102E"/>
    <w:rsid w:val="009F21EB"/>
    <w:rsid w:val="009F2903"/>
    <w:rsid w:val="00A01D11"/>
    <w:rsid w:val="00A05BFE"/>
    <w:rsid w:val="00A23AFA"/>
    <w:rsid w:val="00A31B3E"/>
    <w:rsid w:val="00A47358"/>
    <w:rsid w:val="00A532F3"/>
    <w:rsid w:val="00A65441"/>
    <w:rsid w:val="00A71723"/>
    <w:rsid w:val="00A7494F"/>
    <w:rsid w:val="00A83111"/>
    <w:rsid w:val="00A8489E"/>
    <w:rsid w:val="00A873C2"/>
    <w:rsid w:val="00AC2171"/>
    <w:rsid w:val="00AC29F3"/>
    <w:rsid w:val="00AE498E"/>
    <w:rsid w:val="00AF6E85"/>
    <w:rsid w:val="00B231E5"/>
    <w:rsid w:val="00B30C7F"/>
    <w:rsid w:val="00B36627"/>
    <w:rsid w:val="00B44BE7"/>
    <w:rsid w:val="00B6211F"/>
    <w:rsid w:val="00B70A65"/>
    <w:rsid w:val="00B92BB1"/>
    <w:rsid w:val="00B9730E"/>
    <w:rsid w:val="00BA2CE7"/>
    <w:rsid w:val="00BA3BF3"/>
    <w:rsid w:val="00BB458E"/>
    <w:rsid w:val="00BB4C2F"/>
    <w:rsid w:val="00BB79C2"/>
    <w:rsid w:val="00BC6DCB"/>
    <w:rsid w:val="00BD6252"/>
    <w:rsid w:val="00BE67DC"/>
    <w:rsid w:val="00BF1725"/>
    <w:rsid w:val="00C00FEA"/>
    <w:rsid w:val="00C02492"/>
    <w:rsid w:val="00C02B87"/>
    <w:rsid w:val="00C05799"/>
    <w:rsid w:val="00C07115"/>
    <w:rsid w:val="00C07301"/>
    <w:rsid w:val="00C10D45"/>
    <w:rsid w:val="00C22C02"/>
    <w:rsid w:val="00C3688C"/>
    <w:rsid w:val="00C4086D"/>
    <w:rsid w:val="00C650EC"/>
    <w:rsid w:val="00C72D68"/>
    <w:rsid w:val="00C77DCB"/>
    <w:rsid w:val="00C82E9E"/>
    <w:rsid w:val="00C949CF"/>
    <w:rsid w:val="00CA1896"/>
    <w:rsid w:val="00CB0FFB"/>
    <w:rsid w:val="00CB1549"/>
    <w:rsid w:val="00CB5B28"/>
    <w:rsid w:val="00CC1DD1"/>
    <w:rsid w:val="00CC4C39"/>
    <w:rsid w:val="00CD29D1"/>
    <w:rsid w:val="00CF1D47"/>
    <w:rsid w:val="00CF5371"/>
    <w:rsid w:val="00D0323A"/>
    <w:rsid w:val="00D0559F"/>
    <w:rsid w:val="00D077E9"/>
    <w:rsid w:val="00D302EF"/>
    <w:rsid w:val="00D42CB7"/>
    <w:rsid w:val="00D45000"/>
    <w:rsid w:val="00D533C5"/>
    <w:rsid w:val="00D5413D"/>
    <w:rsid w:val="00D570A9"/>
    <w:rsid w:val="00D70D02"/>
    <w:rsid w:val="00D7405A"/>
    <w:rsid w:val="00D770C7"/>
    <w:rsid w:val="00D80DB6"/>
    <w:rsid w:val="00D824D1"/>
    <w:rsid w:val="00D86945"/>
    <w:rsid w:val="00D90290"/>
    <w:rsid w:val="00D9277C"/>
    <w:rsid w:val="00D93D69"/>
    <w:rsid w:val="00DA4C5E"/>
    <w:rsid w:val="00DA7A69"/>
    <w:rsid w:val="00DB642C"/>
    <w:rsid w:val="00DC71B3"/>
    <w:rsid w:val="00DD152F"/>
    <w:rsid w:val="00DD22F9"/>
    <w:rsid w:val="00DE213F"/>
    <w:rsid w:val="00DF027C"/>
    <w:rsid w:val="00E00A32"/>
    <w:rsid w:val="00E00C00"/>
    <w:rsid w:val="00E1529E"/>
    <w:rsid w:val="00E17059"/>
    <w:rsid w:val="00E22ACD"/>
    <w:rsid w:val="00E36FD9"/>
    <w:rsid w:val="00E402B8"/>
    <w:rsid w:val="00E620B0"/>
    <w:rsid w:val="00E66CDC"/>
    <w:rsid w:val="00E7254E"/>
    <w:rsid w:val="00E81B40"/>
    <w:rsid w:val="00EA25CB"/>
    <w:rsid w:val="00EB0657"/>
    <w:rsid w:val="00EC1D88"/>
    <w:rsid w:val="00ED4A8A"/>
    <w:rsid w:val="00ED5DBB"/>
    <w:rsid w:val="00EE6156"/>
    <w:rsid w:val="00EF06C2"/>
    <w:rsid w:val="00EF3ECF"/>
    <w:rsid w:val="00EF44E4"/>
    <w:rsid w:val="00EF555B"/>
    <w:rsid w:val="00F027BB"/>
    <w:rsid w:val="00F11DCF"/>
    <w:rsid w:val="00F162EA"/>
    <w:rsid w:val="00F24F89"/>
    <w:rsid w:val="00F36F25"/>
    <w:rsid w:val="00F405B8"/>
    <w:rsid w:val="00F45F91"/>
    <w:rsid w:val="00F52D27"/>
    <w:rsid w:val="00F60010"/>
    <w:rsid w:val="00F62F70"/>
    <w:rsid w:val="00F63EC4"/>
    <w:rsid w:val="00F7194F"/>
    <w:rsid w:val="00F83527"/>
    <w:rsid w:val="00F965EC"/>
    <w:rsid w:val="00FC7A9E"/>
    <w:rsid w:val="00FD583F"/>
    <w:rsid w:val="00FD7488"/>
    <w:rsid w:val="00FE16D1"/>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71"/>
    <w:pPr>
      <w:spacing w:after="0"/>
    </w:pPr>
    <w:rPr>
      <w:rFonts w:eastAsiaTheme="minorEastAsia"/>
      <w:b/>
      <w:color w:val="323232" w:themeColor="text2"/>
      <w:sz w:val="28"/>
      <w:szCs w:val="22"/>
      <w:lang w:val="en-GB"/>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252525"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353C70"/>
    <w:pPr>
      <w:keepNext/>
      <w:keepLines/>
      <w:spacing w:before="40"/>
      <w:outlineLvl w:val="2"/>
    </w:pPr>
    <w:rPr>
      <w:rFonts w:asciiTheme="majorHAnsi" w:eastAsiaTheme="majorEastAsia" w:hAnsiTheme="majorHAnsi" w:cstheme="majorBidi"/>
      <w:color w:val="773F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323232"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323232"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252525"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323232"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323232" w:themeColor="text2"/>
      <w:sz w:val="28"/>
      <w:szCs w:val="22"/>
    </w:rPr>
  </w:style>
  <w:style w:type="character" w:customStyle="1" w:styleId="EmphasisTextChar">
    <w:name w:val="Emphasis Text Char"/>
    <w:basedOn w:val="DefaultParagraphFont"/>
    <w:link w:val="EmphasisText"/>
    <w:rsid w:val="00DF027C"/>
    <w:rPr>
      <w:rFonts w:eastAsiaTheme="minorEastAsia"/>
      <w:b/>
      <w:color w:val="323232" w:themeColor="text2"/>
      <w:sz w:val="28"/>
      <w:szCs w:val="22"/>
    </w:rPr>
  </w:style>
  <w:style w:type="character" w:styleId="CommentReference">
    <w:name w:val="annotation reference"/>
    <w:basedOn w:val="DefaultParagraphFont"/>
    <w:uiPriority w:val="99"/>
    <w:semiHidden/>
    <w:unhideWhenUsed/>
    <w:rsid w:val="00DA7A69"/>
    <w:rPr>
      <w:sz w:val="16"/>
      <w:szCs w:val="16"/>
    </w:rPr>
  </w:style>
  <w:style w:type="paragraph" w:styleId="CommentText">
    <w:name w:val="annotation text"/>
    <w:basedOn w:val="Normal"/>
    <w:link w:val="CommentTextChar"/>
    <w:uiPriority w:val="99"/>
    <w:semiHidden/>
    <w:unhideWhenUsed/>
    <w:rsid w:val="00DA7A69"/>
    <w:pPr>
      <w:spacing w:line="240" w:lineRule="auto"/>
    </w:pPr>
    <w:rPr>
      <w:sz w:val="20"/>
      <w:szCs w:val="20"/>
    </w:rPr>
  </w:style>
  <w:style w:type="character" w:customStyle="1" w:styleId="CommentTextChar">
    <w:name w:val="Comment Text Char"/>
    <w:basedOn w:val="DefaultParagraphFont"/>
    <w:link w:val="CommentText"/>
    <w:uiPriority w:val="99"/>
    <w:semiHidden/>
    <w:rsid w:val="00DA7A69"/>
    <w:rPr>
      <w:rFonts w:eastAsiaTheme="minorEastAsia"/>
      <w:b/>
      <w:color w:val="323232" w:themeColor="text2"/>
      <w:sz w:val="20"/>
      <w:szCs w:val="20"/>
    </w:rPr>
  </w:style>
  <w:style w:type="paragraph" w:styleId="CommentSubject">
    <w:name w:val="annotation subject"/>
    <w:basedOn w:val="CommentText"/>
    <w:next w:val="CommentText"/>
    <w:link w:val="CommentSubjectChar"/>
    <w:uiPriority w:val="99"/>
    <w:semiHidden/>
    <w:unhideWhenUsed/>
    <w:rsid w:val="00DA7A69"/>
    <w:rPr>
      <w:bCs/>
    </w:rPr>
  </w:style>
  <w:style w:type="character" w:customStyle="1" w:styleId="CommentSubjectChar">
    <w:name w:val="Comment Subject Char"/>
    <w:basedOn w:val="CommentTextChar"/>
    <w:link w:val="CommentSubject"/>
    <w:uiPriority w:val="99"/>
    <w:semiHidden/>
    <w:rsid w:val="00DA7A69"/>
    <w:rPr>
      <w:rFonts w:eastAsiaTheme="minorEastAsia"/>
      <w:b/>
      <w:bCs/>
      <w:color w:val="323232" w:themeColor="text2"/>
      <w:sz w:val="20"/>
      <w:szCs w:val="20"/>
    </w:rPr>
  </w:style>
  <w:style w:type="character" w:customStyle="1" w:styleId="Heading3Char">
    <w:name w:val="Heading 3 Char"/>
    <w:basedOn w:val="DefaultParagraphFont"/>
    <w:link w:val="Heading3"/>
    <w:uiPriority w:val="5"/>
    <w:rsid w:val="00353C70"/>
    <w:rPr>
      <w:rFonts w:asciiTheme="majorHAnsi" w:eastAsiaTheme="majorEastAsia" w:hAnsiTheme="majorHAnsi" w:cstheme="majorBidi"/>
      <w:b/>
      <w:color w:val="773F04" w:themeColor="accent1" w:themeShade="7F"/>
    </w:rPr>
  </w:style>
  <w:style w:type="table" w:customStyle="1" w:styleId="LightShading-Accent11">
    <w:name w:val="Light Shading - Accent 11"/>
    <w:basedOn w:val="TableNormal"/>
    <w:next w:val="LightShading-Accent1"/>
    <w:uiPriority w:val="60"/>
    <w:rsid w:val="00944E11"/>
    <w:pPr>
      <w:spacing w:after="0" w:line="240" w:lineRule="auto"/>
    </w:pPr>
    <w:rPr>
      <w:rFonts w:ascii="Arial" w:hAnsi="Arial"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99"/>
    <w:semiHidden/>
    <w:unhideWhenUsed/>
    <w:rsid w:val="00944E11"/>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customStyle="1" w:styleId="LightShading-Accent12">
    <w:name w:val="Light Shading - Accent 12"/>
    <w:basedOn w:val="TableNormal"/>
    <w:next w:val="LightShading-Accent1"/>
    <w:uiPriority w:val="60"/>
    <w:rsid w:val="00650B90"/>
    <w:pPr>
      <w:spacing w:after="0" w:line="240" w:lineRule="auto"/>
    </w:pPr>
    <w:rPr>
      <w:rFonts w:ascii="Arial" w:hAnsi="Arial"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1"/>
    <w:qFormat/>
    <w:rsid w:val="001F6DAE"/>
    <w:pPr>
      <w:autoSpaceDE w:val="0"/>
      <w:autoSpaceDN w:val="0"/>
      <w:adjustRightInd w:val="0"/>
      <w:spacing w:line="240" w:lineRule="auto"/>
    </w:pPr>
    <w:rPr>
      <w:rFonts w:ascii="Times New Roman" w:eastAsiaTheme="minorHAnsi" w:hAnsi="Times New Roman" w:cs="Times New Roman"/>
      <w:b w:val="0"/>
      <w:color w:val="auto"/>
      <w:sz w:val="24"/>
      <w:szCs w:val="24"/>
    </w:rPr>
  </w:style>
  <w:style w:type="character" w:customStyle="1" w:styleId="ilfuvd">
    <w:name w:val="ilfuvd"/>
    <w:basedOn w:val="DefaultParagraphFont"/>
    <w:rsid w:val="001F6DAE"/>
  </w:style>
  <w:style w:type="paragraph" w:customStyle="1" w:styleId="DecimalAligned">
    <w:name w:val="Decimal Aligned"/>
    <w:basedOn w:val="Normal"/>
    <w:uiPriority w:val="40"/>
    <w:qFormat/>
    <w:rsid w:val="000349B6"/>
    <w:pPr>
      <w:tabs>
        <w:tab w:val="decimal" w:pos="360"/>
      </w:tabs>
      <w:spacing w:after="200"/>
    </w:pPr>
    <w:rPr>
      <w:rFonts w:cs="Times New Roman"/>
      <w:b w:val="0"/>
      <w:color w:val="auto"/>
      <w:sz w:val="22"/>
      <w:lang w:val="en-US"/>
    </w:rPr>
  </w:style>
  <w:style w:type="paragraph" w:styleId="FootnoteText">
    <w:name w:val="footnote text"/>
    <w:basedOn w:val="Normal"/>
    <w:link w:val="FootnoteTextChar"/>
    <w:uiPriority w:val="99"/>
    <w:unhideWhenUsed/>
    <w:rsid w:val="000349B6"/>
    <w:pPr>
      <w:spacing w:line="240" w:lineRule="auto"/>
    </w:pPr>
    <w:rPr>
      <w:rFonts w:cs="Times New Roman"/>
      <w:b w:val="0"/>
      <w:color w:val="auto"/>
      <w:sz w:val="20"/>
      <w:szCs w:val="20"/>
      <w:lang w:val="en-US"/>
    </w:rPr>
  </w:style>
  <w:style w:type="character" w:customStyle="1" w:styleId="FootnoteTextChar">
    <w:name w:val="Footnote Text Char"/>
    <w:basedOn w:val="DefaultParagraphFont"/>
    <w:link w:val="FootnoteText"/>
    <w:uiPriority w:val="99"/>
    <w:rsid w:val="000349B6"/>
    <w:rPr>
      <w:rFonts w:eastAsiaTheme="minorEastAsia" w:cs="Times New Roman"/>
      <w:sz w:val="20"/>
      <w:szCs w:val="20"/>
    </w:rPr>
  </w:style>
  <w:style w:type="character" w:styleId="SubtleEmphasis">
    <w:name w:val="Subtle Emphasis"/>
    <w:basedOn w:val="DefaultParagraphFont"/>
    <w:uiPriority w:val="19"/>
    <w:qFormat/>
    <w:rsid w:val="000349B6"/>
    <w:rPr>
      <w:i/>
      <w:iCs/>
    </w:rPr>
  </w:style>
  <w:style w:type="table" w:styleId="MediumShading2-Accent5">
    <w:name w:val="Medium Shading 2 Accent 5"/>
    <w:basedOn w:val="TableNormal"/>
    <w:uiPriority w:val="64"/>
    <w:rsid w:val="000349B6"/>
    <w:pPr>
      <w:spacing w:after="0" w:line="240" w:lineRule="auto"/>
    </w:pPr>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71"/>
    <w:pPr>
      <w:spacing w:after="0"/>
    </w:pPr>
    <w:rPr>
      <w:rFonts w:eastAsiaTheme="minorEastAsia"/>
      <w:b/>
      <w:color w:val="323232" w:themeColor="text2"/>
      <w:sz w:val="28"/>
      <w:szCs w:val="22"/>
      <w:lang w:val="en-GB"/>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252525"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353C70"/>
    <w:pPr>
      <w:keepNext/>
      <w:keepLines/>
      <w:spacing w:before="40"/>
      <w:outlineLvl w:val="2"/>
    </w:pPr>
    <w:rPr>
      <w:rFonts w:asciiTheme="majorHAnsi" w:eastAsiaTheme="majorEastAsia" w:hAnsiTheme="majorHAnsi" w:cstheme="majorBidi"/>
      <w:color w:val="773F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323232"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323232"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252525"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323232"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323232" w:themeColor="text2"/>
      <w:sz w:val="28"/>
      <w:szCs w:val="22"/>
    </w:rPr>
  </w:style>
  <w:style w:type="character" w:customStyle="1" w:styleId="EmphasisTextChar">
    <w:name w:val="Emphasis Text Char"/>
    <w:basedOn w:val="DefaultParagraphFont"/>
    <w:link w:val="EmphasisText"/>
    <w:rsid w:val="00DF027C"/>
    <w:rPr>
      <w:rFonts w:eastAsiaTheme="minorEastAsia"/>
      <w:b/>
      <w:color w:val="323232" w:themeColor="text2"/>
      <w:sz w:val="28"/>
      <w:szCs w:val="22"/>
    </w:rPr>
  </w:style>
  <w:style w:type="character" w:styleId="CommentReference">
    <w:name w:val="annotation reference"/>
    <w:basedOn w:val="DefaultParagraphFont"/>
    <w:uiPriority w:val="99"/>
    <w:semiHidden/>
    <w:unhideWhenUsed/>
    <w:rsid w:val="00DA7A69"/>
    <w:rPr>
      <w:sz w:val="16"/>
      <w:szCs w:val="16"/>
    </w:rPr>
  </w:style>
  <w:style w:type="paragraph" w:styleId="CommentText">
    <w:name w:val="annotation text"/>
    <w:basedOn w:val="Normal"/>
    <w:link w:val="CommentTextChar"/>
    <w:uiPriority w:val="99"/>
    <w:semiHidden/>
    <w:unhideWhenUsed/>
    <w:rsid w:val="00DA7A69"/>
    <w:pPr>
      <w:spacing w:line="240" w:lineRule="auto"/>
    </w:pPr>
    <w:rPr>
      <w:sz w:val="20"/>
      <w:szCs w:val="20"/>
    </w:rPr>
  </w:style>
  <w:style w:type="character" w:customStyle="1" w:styleId="CommentTextChar">
    <w:name w:val="Comment Text Char"/>
    <w:basedOn w:val="DefaultParagraphFont"/>
    <w:link w:val="CommentText"/>
    <w:uiPriority w:val="99"/>
    <w:semiHidden/>
    <w:rsid w:val="00DA7A69"/>
    <w:rPr>
      <w:rFonts w:eastAsiaTheme="minorEastAsia"/>
      <w:b/>
      <w:color w:val="323232" w:themeColor="text2"/>
      <w:sz w:val="20"/>
      <w:szCs w:val="20"/>
    </w:rPr>
  </w:style>
  <w:style w:type="paragraph" w:styleId="CommentSubject">
    <w:name w:val="annotation subject"/>
    <w:basedOn w:val="CommentText"/>
    <w:next w:val="CommentText"/>
    <w:link w:val="CommentSubjectChar"/>
    <w:uiPriority w:val="99"/>
    <w:semiHidden/>
    <w:unhideWhenUsed/>
    <w:rsid w:val="00DA7A69"/>
    <w:rPr>
      <w:bCs/>
    </w:rPr>
  </w:style>
  <w:style w:type="character" w:customStyle="1" w:styleId="CommentSubjectChar">
    <w:name w:val="Comment Subject Char"/>
    <w:basedOn w:val="CommentTextChar"/>
    <w:link w:val="CommentSubject"/>
    <w:uiPriority w:val="99"/>
    <w:semiHidden/>
    <w:rsid w:val="00DA7A69"/>
    <w:rPr>
      <w:rFonts w:eastAsiaTheme="minorEastAsia"/>
      <w:b/>
      <w:bCs/>
      <w:color w:val="323232" w:themeColor="text2"/>
      <w:sz w:val="20"/>
      <w:szCs w:val="20"/>
    </w:rPr>
  </w:style>
  <w:style w:type="character" w:customStyle="1" w:styleId="Heading3Char">
    <w:name w:val="Heading 3 Char"/>
    <w:basedOn w:val="DefaultParagraphFont"/>
    <w:link w:val="Heading3"/>
    <w:uiPriority w:val="5"/>
    <w:rsid w:val="00353C70"/>
    <w:rPr>
      <w:rFonts w:asciiTheme="majorHAnsi" w:eastAsiaTheme="majorEastAsia" w:hAnsiTheme="majorHAnsi" w:cstheme="majorBidi"/>
      <w:b/>
      <w:color w:val="773F04" w:themeColor="accent1" w:themeShade="7F"/>
    </w:rPr>
  </w:style>
  <w:style w:type="table" w:customStyle="1" w:styleId="LightShading-Accent11">
    <w:name w:val="Light Shading - Accent 11"/>
    <w:basedOn w:val="TableNormal"/>
    <w:next w:val="LightShading-Accent1"/>
    <w:uiPriority w:val="60"/>
    <w:rsid w:val="00944E11"/>
    <w:pPr>
      <w:spacing w:after="0" w:line="240" w:lineRule="auto"/>
    </w:pPr>
    <w:rPr>
      <w:rFonts w:ascii="Arial" w:hAnsi="Arial"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99"/>
    <w:semiHidden/>
    <w:unhideWhenUsed/>
    <w:rsid w:val="00944E11"/>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customStyle="1" w:styleId="LightShading-Accent12">
    <w:name w:val="Light Shading - Accent 12"/>
    <w:basedOn w:val="TableNormal"/>
    <w:next w:val="LightShading-Accent1"/>
    <w:uiPriority w:val="60"/>
    <w:rsid w:val="00650B90"/>
    <w:pPr>
      <w:spacing w:after="0" w:line="240" w:lineRule="auto"/>
    </w:pPr>
    <w:rPr>
      <w:rFonts w:ascii="Arial" w:hAnsi="Arial"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1"/>
    <w:qFormat/>
    <w:rsid w:val="001F6DAE"/>
    <w:pPr>
      <w:autoSpaceDE w:val="0"/>
      <w:autoSpaceDN w:val="0"/>
      <w:adjustRightInd w:val="0"/>
      <w:spacing w:line="240" w:lineRule="auto"/>
    </w:pPr>
    <w:rPr>
      <w:rFonts w:ascii="Times New Roman" w:eastAsiaTheme="minorHAnsi" w:hAnsi="Times New Roman" w:cs="Times New Roman"/>
      <w:b w:val="0"/>
      <w:color w:val="auto"/>
      <w:sz w:val="24"/>
      <w:szCs w:val="24"/>
    </w:rPr>
  </w:style>
  <w:style w:type="character" w:customStyle="1" w:styleId="ilfuvd">
    <w:name w:val="ilfuvd"/>
    <w:basedOn w:val="DefaultParagraphFont"/>
    <w:rsid w:val="001F6DAE"/>
  </w:style>
  <w:style w:type="paragraph" w:customStyle="1" w:styleId="DecimalAligned">
    <w:name w:val="Decimal Aligned"/>
    <w:basedOn w:val="Normal"/>
    <w:uiPriority w:val="40"/>
    <w:qFormat/>
    <w:rsid w:val="000349B6"/>
    <w:pPr>
      <w:tabs>
        <w:tab w:val="decimal" w:pos="360"/>
      </w:tabs>
      <w:spacing w:after="200"/>
    </w:pPr>
    <w:rPr>
      <w:rFonts w:cs="Times New Roman"/>
      <w:b w:val="0"/>
      <w:color w:val="auto"/>
      <w:sz w:val="22"/>
      <w:lang w:val="en-US"/>
    </w:rPr>
  </w:style>
  <w:style w:type="paragraph" w:styleId="FootnoteText">
    <w:name w:val="footnote text"/>
    <w:basedOn w:val="Normal"/>
    <w:link w:val="FootnoteTextChar"/>
    <w:uiPriority w:val="99"/>
    <w:unhideWhenUsed/>
    <w:rsid w:val="000349B6"/>
    <w:pPr>
      <w:spacing w:line="240" w:lineRule="auto"/>
    </w:pPr>
    <w:rPr>
      <w:rFonts w:cs="Times New Roman"/>
      <w:b w:val="0"/>
      <w:color w:val="auto"/>
      <w:sz w:val="20"/>
      <w:szCs w:val="20"/>
      <w:lang w:val="en-US"/>
    </w:rPr>
  </w:style>
  <w:style w:type="character" w:customStyle="1" w:styleId="FootnoteTextChar">
    <w:name w:val="Footnote Text Char"/>
    <w:basedOn w:val="DefaultParagraphFont"/>
    <w:link w:val="FootnoteText"/>
    <w:uiPriority w:val="99"/>
    <w:rsid w:val="000349B6"/>
    <w:rPr>
      <w:rFonts w:eastAsiaTheme="minorEastAsia" w:cs="Times New Roman"/>
      <w:sz w:val="20"/>
      <w:szCs w:val="20"/>
    </w:rPr>
  </w:style>
  <w:style w:type="character" w:styleId="SubtleEmphasis">
    <w:name w:val="Subtle Emphasis"/>
    <w:basedOn w:val="DefaultParagraphFont"/>
    <w:uiPriority w:val="19"/>
    <w:qFormat/>
    <w:rsid w:val="000349B6"/>
    <w:rPr>
      <w:i/>
      <w:iCs/>
    </w:rPr>
  </w:style>
  <w:style w:type="table" w:styleId="MediumShading2-Accent5">
    <w:name w:val="Medium Shading 2 Accent 5"/>
    <w:basedOn w:val="TableNormal"/>
    <w:uiPriority w:val="64"/>
    <w:rsid w:val="000349B6"/>
    <w:pPr>
      <w:spacing w:after="0" w:line="240" w:lineRule="auto"/>
    </w:pPr>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45421">
      <w:bodyDiv w:val="1"/>
      <w:marLeft w:val="0"/>
      <w:marRight w:val="0"/>
      <w:marTop w:val="0"/>
      <w:marBottom w:val="0"/>
      <w:divBdr>
        <w:top w:val="none" w:sz="0" w:space="0" w:color="auto"/>
        <w:left w:val="none" w:sz="0" w:space="0" w:color="auto"/>
        <w:bottom w:val="none" w:sz="0" w:space="0" w:color="auto"/>
        <w:right w:val="none" w:sz="0" w:space="0" w:color="auto"/>
      </w:divBdr>
      <w:divsChild>
        <w:div w:id="1683122068">
          <w:marLeft w:val="547"/>
          <w:marRight w:val="0"/>
          <w:marTop w:val="0"/>
          <w:marBottom w:val="0"/>
          <w:divBdr>
            <w:top w:val="none" w:sz="0" w:space="0" w:color="auto"/>
            <w:left w:val="none" w:sz="0" w:space="0" w:color="auto"/>
            <w:bottom w:val="none" w:sz="0" w:space="0" w:color="auto"/>
            <w:right w:val="none" w:sz="0" w:space="0" w:color="auto"/>
          </w:divBdr>
        </w:div>
      </w:divsChild>
    </w:div>
    <w:div w:id="1937209105">
      <w:bodyDiv w:val="1"/>
      <w:marLeft w:val="0"/>
      <w:marRight w:val="0"/>
      <w:marTop w:val="0"/>
      <w:marBottom w:val="0"/>
      <w:divBdr>
        <w:top w:val="none" w:sz="0" w:space="0" w:color="auto"/>
        <w:left w:val="none" w:sz="0" w:space="0" w:color="auto"/>
        <w:bottom w:val="none" w:sz="0" w:space="0" w:color="auto"/>
        <w:right w:val="none" w:sz="0" w:space="0" w:color="auto"/>
      </w:divBdr>
      <w:divsChild>
        <w:div w:id="1984457565">
          <w:marLeft w:val="547"/>
          <w:marRight w:val="0"/>
          <w:marTop w:val="0"/>
          <w:marBottom w:val="0"/>
          <w:divBdr>
            <w:top w:val="none" w:sz="0" w:space="0" w:color="auto"/>
            <w:left w:val="none" w:sz="0" w:space="0" w:color="auto"/>
            <w:bottom w:val="none" w:sz="0" w:space="0" w:color="auto"/>
            <w:right w:val="none" w:sz="0" w:space="0" w:color="auto"/>
          </w:divBdr>
        </w:div>
      </w:divsChild>
    </w:div>
    <w:div w:id="20114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occweb/intranet/users/stephen-clarke" TargetMode="Externa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footer" Target="footer1.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Data" Target="diagrams/data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header" Target="header1.xml"/><Relationship Id="rId54" Type="http://schemas.openxmlformats.org/officeDocument/2006/relationships/image" Target="media/image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image" Target="media/image4.jpeg"/><Relationship Id="rId45" Type="http://schemas.openxmlformats.org/officeDocument/2006/relationships/diagramLayout" Target="diagrams/layout6.xml"/><Relationship Id="rId53" Type="http://schemas.microsoft.com/office/2007/relationships/diagramDrawing" Target="diagrams/drawing7.xml"/><Relationship Id="rId58" Type="http://schemas.openxmlformats.org/officeDocument/2006/relationships/diagramColors" Target="diagrams/colors8.xm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7.xml"/><Relationship Id="rId57" Type="http://schemas.openxmlformats.org/officeDocument/2006/relationships/diagramQuickStyle" Target="diagrams/quickStyle8.xml"/><Relationship Id="rId61"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image" Target="media/image5.png"/><Relationship Id="rId48" Type="http://schemas.microsoft.com/office/2007/relationships/diagramDrawing" Target="diagrams/drawing6.xml"/><Relationship Id="rId56" Type="http://schemas.openxmlformats.org/officeDocument/2006/relationships/diagramLayout" Target="diagrams/layout8.xml"/><Relationship Id="rId8" Type="http://schemas.openxmlformats.org/officeDocument/2006/relationships/footnotes" Target="footnotes.xml"/><Relationship Id="rId51" Type="http://schemas.openxmlformats.org/officeDocument/2006/relationships/diagramQuickStyle" Target="diagrams/quickStyle7.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6.xml"/><Relationship Id="rId59" Type="http://schemas.microsoft.com/office/2007/relationships/diagramDrawing" Target="diagrams/drawing8.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62D1C-8014-463A-A832-17AC27504F28}" type="doc">
      <dgm:prSet loTypeId="urn:microsoft.com/office/officeart/2005/8/layout/vList2" loCatId="list" qsTypeId="urn:microsoft.com/office/officeart/2005/8/quickstyle/simple5" qsCatId="simple" csTypeId="urn:microsoft.com/office/officeart/2005/8/colors/accent3_5" csCatId="accent3" phldr="1"/>
      <dgm:spPr/>
      <dgm:t>
        <a:bodyPr/>
        <a:lstStyle/>
        <a:p>
          <a:endParaRPr lang="en-GB"/>
        </a:p>
      </dgm:t>
    </dgm:pt>
    <dgm:pt modelId="{7D7FA5F2-5C82-433C-8552-90F637FBC0B0}">
      <dgm:prSet phldrT="[Text]" custT="1"/>
      <dgm:spPr>
        <a:xfrm>
          <a:off x="0" y="71"/>
          <a:ext cx="6305550" cy="326377"/>
        </a:xfrm>
        <a:gradFill rotWithShape="0">
          <a:gsLst>
            <a:gs pos="0">
              <a:srgbClr val="005386">
                <a:alpha val="89804"/>
              </a:srgbClr>
            </a:gs>
            <a:gs pos="62000">
              <a:schemeClr val="accent3">
                <a:alpha val="90000"/>
                <a:hueOff val="0"/>
                <a:satOff val="0"/>
                <a:lumOff val="0"/>
                <a:alphaOff val="0"/>
                <a:tint val="100000"/>
                <a:shade val="100000"/>
                <a:satMod val="125000"/>
              </a:schemeClr>
            </a:gs>
            <a:gs pos="100000">
              <a:schemeClr val="accent3">
                <a:alpha val="90000"/>
                <a:hueOff val="0"/>
                <a:satOff val="0"/>
                <a:lumOff val="0"/>
                <a:alphaOff val="0"/>
                <a:tint val="80000"/>
                <a:shade val="100000"/>
                <a:satMod val="140000"/>
              </a:schemeClr>
            </a:gs>
          </a:gsLst>
        </a:gradFill>
      </dgm:spPr>
      <dgm:t>
        <a:bodyPr/>
        <a:lstStyle/>
        <a:p>
          <a:r>
            <a:rPr lang="en-GB" sz="1400" b="1">
              <a:latin typeface="Calibri"/>
              <a:ea typeface="+mn-ea"/>
              <a:cs typeface="+mn-cs"/>
            </a:rPr>
            <a:t>3 		</a:t>
          </a:r>
          <a:r>
            <a:rPr lang="en-GB" sz="1400">
              <a:latin typeface="Calibri"/>
              <a:ea typeface="+mn-ea"/>
              <a:cs typeface="+mn-cs"/>
            </a:rPr>
            <a:t>Chairman's Letter</a:t>
          </a:r>
        </a:p>
      </dgm:t>
    </dgm:pt>
    <dgm:pt modelId="{A8660F74-B3E8-4DE7-9E21-4461C44332F0}" type="parTrans" cxnId="{D02F0108-0CDC-4360-9795-6F156D4C3FFB}">
      <dgm:prSet/>
      <dgm:spPr/>
      <dgm:t>
        <a:bodyPr/>
        <a:lstStyle/>
        <a:p>
          <a:endParaRPr lang="en-GB"/>
        </a:p>
      </dgm:t>
    </dgm:pt>
    <dgm:pt modelId="{A9477B9B-0B13-4CA7-838A-775264306488}" type="sibTrans" cxnId="{D02F0108-0CDC-4360-9795-6F156D4C3FFB}">
      <dgm:prSet/>
      <dgm:spPr/>
      <dgm:t>
        <a:bodyPr/>
        <a:lstStyle/>
        <a:p>
          <a:endParaRPr lang="en-GB"/>
        </a:p>
      </dgm:t>
    </dgm:pt>
    <dgm:pt modelId="{A1DA4093-9494-4699-826F-98493EB4FE4A}">
      <dgm:prSet phldrT="[Text]" custT="1"/>
      <dgm:spPr>
        <a:xfrm>
          <a:off x="0" y="340300"/>
          <a:ext cx="6305550" cy="326377"/>
        </a:xfrm>
      </dgm:spPr>
      <dgm:t>
        <a:bodyPr/>
        <a:lstStyle/>
        <a:p>
          <a:r>
            <a:rPr lang="en-GB" sz="1400" b="1">
              <a:latin typeface="Calibri"/>
              <a:ea typeface="+mn-ea"/>
              <a:cs typeface="+mn-cs"/>
            </a:rPr>
            <a:t>5 		</a:t>
          </a:r>
          <a:r>
            <a:rPr lang="en-GB" sz="1400" b="0">
              <a:latin typeface="Calibri"/>
              <a:ea typeface="+mn-ea"/>
              <a:cs typeface="+mn-cs"/>
            </a:rPr>
            <a:t>A Volitile Year</a:t>
          </a:r>
          <a:endParaRPr lang="en-GB" sz="1400">
            <a:latin typeface="Calibri"/>
            <a:ea typeface="+mn-ea"/>
            <a:cs typeface="+mn-cs"/>
          </a:endParaRPr>
        </a:p>
      </dgm:t>
    </dgm:pt>
    <dgm:pt modelId="{59A0DB93-40D5-4FED-B2E9-2F42062720F3}" type="sibTrans" cxnId="{3AE9C1C4-7187-4840-80D7-562DF312334C}">
      <dgm:prSet/>
      <dgm:spPr/>
      <dgm:t>
        <a:bodyPr/>
        <a:lstStyle/>
        <a:p>
          <a:endParaRPr lang="en-GB"/>
        </a:p>
      </dgm:t>
    </dgm:pt>
    <dgm:pt modelId="{EE86F97A-602F-4640-8128-1E4FA4D75644}" type="parTrans" cxnId="{3AE9C1C4-7187-4840-80D7-562DF312334C}">
      <dgm:prSet/>
      <dgm:spPr/>
      <dgm:t>
        <a:bodyPr/>
        <a:lstStyle/>
        <a:p>
          <a:endParaRPr lang="en-GB"/>
        </a:p>
      </dgm:t>
    </dgm:pt>
    <dgm:pt modelId="{99CBAD9B-5B97-4524-B744-D93106E8A4EB}" type="pres">
      <dgm:prSet presAssocID="{7C262D1C-8014-463A-A832-17AC27504F28}" presName="linear" presStyleCnt="0">
        <dgm:presLayoutVars>
          <dgm:animLvl val="lvl"/>
          <dgm:resizeHandles val="exact"/>
        </dgm:presLayoutVars>
      </dgm:prSet>
      <dgm:spPr/>
      <dgm:t>
        <a:bodyPr/>
        <a:lstStyle/>
        <a:p>
          <a:endParaRPr lang="en-GB"/>
        </a:p>
      </dgm:t>
    </dgm:pt>
    <dgm:pt modelId="{264AB247-B316-4553-8D5B-D26153B3DF22}" type="pres">
      <dgm:prSet presAssocID="{7D7FA5F2-5C82-433C-8552-90F637FBC0B0}" presName="parentText" presStyleLbl="node1" presStyleIdx="0" presStyleCnt="2">
        <dgm:presLayoutVars>
          <dgm:chMax val="0"/>
          <dgm:bulletEnabled val="1"/>
        </dgm:presLayoutVars>
      </dgm:prSet>
      <dgm:spPr>
        <a:prstGeom prst="roundRect">
          <a:avLst/>
        </a:prstGeom>
      </dgm:spPr>
      <dgm:t>
        <a:bodyPr/>
        <a:lstStyle/>
        <a:p>
          <a:endParaRPr lang="en-GB"/>
        </a:p>
      </dgm:t>
    </dgm:pt>
    <dgm:pt modelId="{5C7B4794-B4AE-4B08-A5F2-FC3BF9C2FA85}" type="pres">
      <dgm:prSet presAssocID="{A9477B9B-0B13-4CA7-838A-775264306488}" presName="spacer" presStyleCnt="0"/>
      <dgm:spPr/>
      <dgm:t>
        <a:bodyPr/>
        <a:lstStyle/>
        <a:p>
          <a:endParaRPr lang="en-GB"/>
        </a:p>
      </dgm:t>
    </dgm:pt>
    <dgm:pt modelId="{033989D0-D5FD-4483-BD88-F364A417400C}" type="pres">
      <dgm:prSet presAssocID="{A1DA4093-9494-4699-826F-98493EB4FE4A}" presName="parentText" presStyleLbl="node1" presStyleIdx="1" presStyleCnt="2">
        <dgm:presLayoutVars>
          <dgm:chMax val="0"/>
          <dgm:bulletEnabled val="1"/>
        </dgm:presLayoutVars>
      </dgm:prSet>
      <dgm:spPr>
        <a:prstGeom prst="roundRect">
          <a:avLst/>
        </a:prstGeom>
      </dgm:spPr>
      <dgm:t>
        <a:bodyPr/>
        <a:lstStyle/>
        <a:p>
          <a:endParaRPr lang="en-GB"/>
        </a:p>
      </dgm:t>
    </dgm:pt>
  </dgm:ptLst>
  <dgm:cxnLst>
    <dgm:cxn modelId="{3AE9C1C4-7187-4840-80D7-562DF312334C}" srcId="{7C262D1C-8014-463A-A832-17AC27504F28}" destId="{A1DA4093-9494-4699-826F-98493EB4FE4A}" srcOrd="1" destOrd="0" parTransId="{EE86F97A-602F-4640-8128-1E4FA4D75644}" sibTransId="{59A0DB93-40D5-4FED-B2E9-2F42062720F3}"/>
    <dgm:cxn modelId="{59CB1D2D-2655-4229-B92C-A0F3135F6C36}" type="presOf" srcId="{7C262D1C-8014-463A-A832-17AC27504F28}" destId="{99CBAD9B-5B97-4524-B744-D93106E8A4EB}" srcOrd="0" destOrd="0" presId="urn:microsoft.com/office/officeart/2005/8/layout/vList2"/>
    <dgm:cxn modelId="{126E00E5-095B-4242-945D-74C5BCDCFEB7}" type="presOf" srcId="{A1DA4093-9494-4699-826F-98493EB4FE4A}" destId="{033989D0-D5FD-4483-BD88-F364A417400C}" srcOrd="0" destOrd="0" presId="urn:microsoft.com/office/officeart/2005/8/layout/vList2"/>
    <dgm:cxn modelId="{D02F0108-0CDC-4360-9795-6F156D4C3FFB}" srcId="{7C262D1C-8014-463A-A832-17AC27504F28}" destId="{7D7FA5F2-5C82-433C-8552-90F637FBC0B0}" srcOrd="0" destOrd="0" parTransId="{A8660F74-B3E8-4DE7-9E21-4461C44332F0}" sibTransId="{A9477B9B-0B13-4CA7-838A-775264306488}"/>
    <dgm:cxn modelId="{A2E9D955-0504-43CA-BAA4-D46B7ACDFEA5}" type="presOf" srcId="{7D7FA5F2-5C82-433C-8552-90F637FBC0B0}" destId="{264AB247-B316-4553-8D5B-D26153B3DF22}" srcOrd="0" destOrd="0" presId="urn:microsoft.com/office/officeart/2005/8/layout/vList2"/>
    <dgm:cxn modelId="{989CA16A-D379-4189-A957-D2014665535C}" type="presParOf" srcId="{99CBAD9B-5B97-4524-B744-D93106E8A4EB}" destId="{264AB247-B316-4553-8D5B-D26153B3DF22}" srcOrd="0" destOrd="0" presId="urn:microsoft.com/office/officeart/2005/8/layout/vList2"/>
    <dgm:cxn modelId="{C9A22EB9-3194-482E-B12A-E0EF0CC7C13C}" type="presParOf" srcId="{99CBAD9B-5B97-4524-B744-D93106E8A4EB}" destId="{5C7B4794-B4AE-4B08-A5F2-FC3BF9C2FA85}" srcOrd="1" destOrd="0" presId="urn:microsoft.com/office/officeart/2005/8/layout/vList2"/>
    <dgm:cxn modelId="{7F7C7BC6-1D07-478E-8778-981D40BF9455}" type="presParOf" srcId="{99CBAD9B-5B97-4524-B744-D93106E8A4EB}" destId="{033989D0-D5FD-4483-BD88-F364A417400C}" srcOrd="2"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C262D1C-8014-463A-A832-17AC27504F28}" type="doc">
      <dgm:prSet loTypeId="urn:microsoft.com/office/officeart/2005/8/layout/vList2" loCatId="list" qsTypeId="urn:microsoft.com/office/officeart/2005/8/quickstyle/simple5" qsCatId="simple" csTypeId="urn:microsoft.com/office/officeart/2005/8/colors/accent3_5" csCatId="accent3" phldr="1"/>
      <dgm:spPr/>
      <dgm:t>
        <a:bodyPr/>
        <a:lstStyle/>
        <a:p>
          <a:endParaRPr lang="en-GB"/>
        </a:p>
      </dgm:t>
    </dgm:pt>
    <dgm:pt modelId="{7D7FA5F2-5C82-433C-8552-90F637FBC0B0}">
      <dgm:prSet phldrT="[Text]" custT="1"/>
      <dgm:spPr>
        <a:xfrm>
          <a:off x="0" y="71"/>
          <a:ext cx="6261100" cy="326377"/>
        </a:xfrm>
      </dgm:spPr>
      <dgm:t>
        <a:bodyPr/>
        <a:lstStyle/>
        <a:p>
          <a:r>
            <a:rPr lang="en-GB" sz="1400" b="1">
              <a:latin typeface="Calibri"/>
              <a:ea typeface="+mn-ea"/>
              <a:cs typeface="+mn-cs"/>
            </a:rPr>
            <a:t>6  		</a:t>
          </a:r>
          <a:r>
            <a:rPr lang="en-GB" sz="1400" b="0">
              <a:latin typeface="Calibri"/>
              <a:ea typeface="+mn-ea"/>
              <a:cs typeface="+mn-cs"/>
            </a:rPr>
            <a:t>Our Strategy</a:t>
          </a:r>
          <a:endParaRPr lang="en-GB" sz="1400">
            <a:latin typeface="Calibri"/>
            <a:ea typeface="+mn-ea"/>
            <a:cs typeface="+mn-cs"/>
          </a:endParaRPr>
        </a:p>
      </dgm:t>
    </dgm:pt>
    <dgm:pt modelId="{A8660F74-B3E8-4DE7-9E21-4461C44332F0}" type="parTrans" cxnId="{D02F0108-0CDC-4360-9795-6F156D4C3FFB}">
      <dgm:prSet/>
      <dgm:spPr/>
      <dgm:t>
        <a:bodyPr/>
        <a:lstStyle/>
        <a:p>
          <a:endParaRPr lang="en-GB"/>
        </a:p>
      </dgm:t>
    </dgm:pt>
    <dgm:pt modelId="{A9477B9B-0B13-4CA7-838A-775264306488}" type="sibTrans" cxnId="{D02F0108-0CDC-4360-9795-6F156D4C3FFB}">
      <dgm:prSet/>
      <dgm:spPr/>
      <dgm:t>
        <a:bodyPr/>
        <a:lstStyle/>
        <a:p>
          <a:endParaRPr lang="en-GB"/>
        </a:p>
      </dgm:t>
    </dgm:pt>
    <dgm:pt modelId="{99CBAD9B-5B97-4524-B744-D93106E8A4EB}" type="pres">
      <dgm:prSet presAssocID="{7C262D1C-8014-463A-A832-17AC27504F28}" presName="linear" presStyleCnt="0">
        <dgm:presLayoutVars>
          <dgm:animLvl val="lvl"/>
          <dgm:resizeHandles val="exact"/>
        </dgm:presLayoutVars>
      </dgm:prSet>
      <dgm:spPr/>
      <dgm:t>
        <a:bodyPr/>
        <a:lstStyle/>
        <a:p>
          <a:endParaRPr lang="en-GB"/>
        </a:p>
      </dgm:t>
    </dgm:pt>
    <dgm:pt modelId="{264AB247-B316-4553-8D5B-D26153B3DF22}" type="pres">
      <dgm:prSet presAssocID="{7D7FA5F2-5C82-433C-8552-90F637FBC0B0}" presName="parentText" presStyleLbl="node1" presStyleIdx="0" presStyleCnt="1" custScaleY="49603" custLinFactY="7430" custLinFactNeighborY="100000">
        <dgm:presLayoutVars>
          <dgm:chMax val="0"/>
          <dgm:bulletEnabled val="1"/>
        </dgm:presLayoutVars>
      </dgm:prSet>
      <dgm:spPr>
        <a:prstGeom prst="roundRect">
          <a:avLst/>
        </a:prstGeom>
      </dgm:spPr>
      <dgm:t>
        <a:bodyPr/>
        <a:lstStyle/>
        <a:p>
          <a:endParaRPr lang="en-GB"/>
        </a:p>
      </dgm:t>
    </dgm:pt>
  </dgm:ptLst>
  <dgm:cxnLst>
    <dgm:cxn modelId="{D45AC6BE-FEA5-4DE2-870B-09DA692EB556}" type="presOf" srcId="{7D7FA5F2-5C82-433C-8552-90F637FBC0B0}" destId="{264AB247-B316-4553-8D5B-D26153B3DF22}" srcOrd="0" destOrd="0" presId="urn:microsoft.com/office/officeart/2005/8/layout/vList2"/>
    <dgm:cxn modelId="{4DE46797-D079-4C24-B913-808B3FF22E71}" type="presOf" srcId="{7C262D1C-8014-463A-A832-17AC27504F28}" destId="{99CBAD9B-5B97-4524-B744-D93106E8A4EB}" srcOrd="0" destOrd="0" presId="urn:microsoft.com/office/officeart/2005/8/layout/vList2"/>
    <dgm:cxn modelId="{D02F0108-0CDC-4360-9795-6F156D4C3FFB}" srcId="{7C262D1C-8014-463A-A832-17AC27504F28}" destId="{7D7FA5F2-5C82-433C-8552-90F637FBC0B0}" srcOrd="0" destOrd="0" parTransId="{A8660F74-B3E8-4DE7-9E21-4461C44332F0}" sibTransId="{A9477B9B-0B13-4CA7-838A-775264306488}"/>
    <dgm:cxn modelId="{6069EDF9-1493-4213-AB8F-F7FD72526F19}" type="presParOf" srcId="{99CBAD9B-5B97-4524-B744-D93106E8A4EB}" destId="{264AB247-B316-4553-8D5B-D26153B3DF22}"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262D1C-8014-463A-A832-17AC27504F28}" type="doc">
      <dgm:prSet loTypeId="urn:microsoft.com/office/officeart/2005/8/layout/vList2" loCatId="list" qsTypeId="urn:microsoft.com/office/officeart/2005/8/quickstyle/simple5" qsCatId="simple" csTypeId="urn:microsoft.com/office/officeart/2005/8/colors/accent3_5" csCatId="accent3" phldr="1"/>
      <dgm:spPr/>
      <dgm:t>
        <a:bodyPr/>
        <a:lstStyle/>
        <a:p>
          <a:endParaRPr lang="en-GB"/>
        </a:p>
      </dgm:t>
    </dgm:pt>
    <dgm:pt modelId="{7D7FA5F2-5C82-433C-8552-90F637FBC0B0}">
      <dgm:prSet phldrT="[Text]" custT="1"/>
      <dgm:spPr>
        <a:xfrm>
          <a:off x="0" y="51435"/>
          <a:ext cx="6305550" cy="335790"/>
        </a:xfrm>
      </dgm:spPr>
      <dgm:t>
        <a:bodyPr/>
        <a:lstStyle/>
        <a:p>
          <a:r>
            <a:rPr lang="en-GB" sz="1400" b="1">
              <a:latin typeface="Calibri"/>
              <a:ea typeface="+mn-ea"/>
              <a:cs typeface="+mn-cs"/>
            </a:rPr>
            <a:t>9  		</a:t>
          </a:r>
          <a:r>
            <a:rPr lang="en-GB" sz="1400" b="0">
              <a:latin typeface="Calibri"/>
              <a:ea typeface="+mn-ea"/>
              <a:cs typeface="+mn-cs"/>
            </a:rPr>
            <a:t>Measuring our Progress</a:t>
          </a:r>
        </a:p>
      </dgm:t>
    </dgm:pt>
    <dgm:pt modelId="{A8660F74-B3E8-4DE7-9E21-4461C44332F0}" type="parTrans" cxnId="{D02F0108-0CDC-4360-9795-6F156D4C3FFB}">
      <dgm:prSet/>
      <dgm:spPr/>
      <dgm:t>
        <a:bodyPr/>
        <a:lstStyle/>
        <a:p>
          <a:endParaRPr lang="en-GB"/>
        </a:p>
      </dgm:t>
    </dgm:pt>
    <dgm:pt modelId="{A9477B9B-0B13-4CA7-838A-775264306488}" type="sibTrans" cxnId="{D02F0108-0CDC-4360-9795-6F156D4C3FFB}">
      <dgm:prSet/>
      <dgm:spPr/>
      <dgm:t>
        <a:bodyPr/>
        <a:lstStyle/>
        <a:p>
          <a:endParaRPr lang="en-GB"/>
        </a:p>
      </dgm:t>
    </dgm:pt>
    <dgm:pt modelId="{A1DA4093-9494-4699-826F-98493EB4FE4A}">
      <dgm:prSet phldrT="[Text]" custT="1"/>
      <dgm:spPr>
        <a:xfrm>
          <a:off x="0" y="427545"/>
          <a:ext cx="6305550" cy="335790"/>
        </a:xfrm>
      </dgm:spPr>
      <dgm:t>
        <a:bodyPr/>
        <a:lstStyle/>
        <a:p>
          <a:r>
            <a:rPr lang="en-GB" sz="1400" b="1">
              <a:latin typeface="Calibri"/>
              <a:ea typeface="+mn-ea"/>
              <a:cs typeface="+mn-cs"/>
            </a:rPr>
            <a:t>10  		</a:t>
          </a:r>
          <a:r>
            <a:rPr lang="en-GB" sz="1400" b="0">
              <a:latin typeface="Calibri"/>
              <a:ea typeface="+mn-ea"/>
              <a:cs typeface="+mn-cs"/>
            </a:rPr>
            <a:t>Development and Financial Performance</a:t>
          </a:r>
        </a:p>
      </dgm:t>
    </dgm:pt>
    <dgm:pt modelId="{59A0DB93-40D5-4FED-B2E9-2F42062720F3}" type="sibTrans" cxnId="{3AE9C1C4-7187-4840-80D7-562DF312334C}">
      <dgm:prSet/>
      <dgm:spPr/>
      <dgm:t>
        <a:bodyPr/>
        <a:lstStyle/>
        <a:p>
          <a:endParaRPr lang="en-GB"/>
        </a:p>
      </dgm:t>
    </dgm:pt>
    <dgm:pt modelId="{EE86F97A-602F-4640-8128-1E4FA4D75644}" type="parTrans" cxnId="{3AE9C1C4-7187-4840-80D7-562DF312334C}">
      <dgm:prSet/>
      <dgm:spPr/>
      <dgm:t>
        <a:bodyPr/>
        <a:lstStyle/>
        <a:p>
          <a:endParaRPr lang="en-GB"/>
        </a:p>
      </dgm:t>
    </dgm:pt>
    <dgm:pt modelId="{9B4BA903-E5C4-4E9E-B7C3-FF64D4C38F2F}">
      <dgm:prSet/>
      <dgm:spPr>
        <a:xfrm>
          <a:off x="0" y="1179765"/>
          <a:ext cx="6305550" cy="335790"/>
        </a:xfrm>
      </dgm:spPr>
      <dgm:t>
        <a:bodyPr/>
        <a:lstStyle/>
        <a:p>
          <a:r>
            <a:rPr lang="en-GB" b="1">
              <a:latin typeface="Calibri"/>
              <a:ea typeface="+mn-ea"/>
              <a:cs typeface="+mn-cs"/>
            </a:rPr>
            <a:t>14  		</a:t>
          </a:r>
          <a:r>
            <a:rPr lang="en-GB" b="0">
              <a:latin typeface="Calibri"/>
              <a:ea typeface="+mn-ea"/>
              <a:cs typeface="+mn-cs"/>
            </a:rPr>
            <a:t>Stress Testing</a:t>
          </a:r>
          <a:endParaRPr lang="en-GB" b="1">
            <a:latin typeface="Calibri"/>
            <a:ea typeface="+mn-ea"/>
            <a:cs typeface="+mn-cs"/>
          </a:endParaRPr>
        </a:p>
      </dgm:t>
    </dgm:pt>
    <dgm:pt modelId="{70A41649-0D62-43D3-B62E-E156997C3E3A}" type="parTrans" cxnId="{DFE1456D-64ED-432E-9E6C-98481C30EAF1}">
      <dgm:prSet/>
      <dgm:spPr/>
      <dgm:t>
        <a:bodyPr/>
        <a:lstStyle/>
        <a:p>
          <a:endParaRPr lang="en-GB"/>
        </a:p>
      </dgm:t>
    </dgm:pt>
    <dgm:pt modelId="{EAC6B3DC-70AA-4916-9589-47BEA4520C35}" type="sibTrans" cxnId="{DFE1456D-64ED-432E-9E6C-98481C30EAF1}">
      <dgm:prSet/>
      <dgm:spPr/>
      <dgm:t>
        <a:bodyPr/>
        <a:lstStyle/>
        <a:p>
          <a:endParaRPr lang="en-GB"/>
        </a:p>
      </dgm:t>
    </dgm:pt>
    <dgm:pt modelId="{2A567647-1644-45DD-B00D-59A6E3E077D0}">
      <dgm:prSet/>
      <dgm:spPr>
        <a:xfrm>
          <a:off x="0" y="1555875"/>
          <a:ext cx="6305550" cy="335790"/>
        </a:xfrm>
      </dgm:spPr>
      <dgm:t>
        <a:bodyPr/>
        <a:lstStyle/>
        <a:p>
          <a:r>
            <a:rPr lang="en-GB" b="1">
              <a:latin typeface="Calibri"/>
              <a:ea typeface="+mn-ea"/>
              <a:cs typeface="+mn-cs"/>
            </a:rPr>
            <a:t>15  		</a:t>
          </a:r>
          <a:r>
            <a:rPr lang="en-GB" b="0">
              <a:latin typeface="Calibri"/>
              <a:ea typeface="+mn-ea"/>
              <a:cs typeface="+mn-cs"/>
            </a:rPr>
            <a:t>Managing Risk</a:t>
          </a:r>
          <a:endParaRPr lang="en-GB" b="1">
            <a:latin typeface="Calibri"/>
            <a:ea typeface="+mn-ea"/>
            <a:cs typeface="+mn-cs"/>
          </a:endParaRPr>
        </a:p>
      </dgm:t>
    </dgm:pt>
    <dgm:pt modelId="{FCAC61D0-BD34-4E74-A164-57B3F2CDC529}" type="parTrans" cxnId="{34F5E806-3C21-4A3E-BDAC-C3A7C0C2E279}">
      <dgm:prSet/>
      <dgm:spPr/>
      <dgm:t>
        <a:bodyPr/>
        <a:lstStyle/>
        <a:p>
          <a:endParaRPr lang="en-GB"/>
        </a:p>
      </dgm:t>
    </dgm:pt>
    <dgm:pt modelId="{587B34E6-1862-4329-9C46-FB695DCAF1A3}" type="sibTrans" cxnId="{34F5E806-3C21-4A3E-BDAC-C3A7C0C2E279}">
      <dgm:prSet/>
      <dgm:spPr/>
      <dgm:t>
        <a:bodyPr/>
        <a:lstStyle/>
        <a:p>
          <a:endParaRPr lang="en-GB"/>
        </a:p>
      </dgm:t>
    </dgm:pt>
    <dgm:pt modelId="{99CBAD9B-5B97-4524-B744-D93106E8A4EB}" type="pres">
      <dgm:prSet presAssocID="{7C262D1C-8014-463A-A832-17AC27504F28}" presName="linear" presStyleCnt="0">
        <dgm:presLayoutVars>
          <dgm:animLvl val="lvl"/>
          <dgm:resizeHandles val="exact"/>
        </dgm:presLayoutVars>
      </dgm:prSet>
      <dgm:spPr/>
      <dgm:t>
        <a:bodyPr/>
        <a:lstStyle/>
        <a:p>
          <a:endParaRPr lang="en-GB"/>
        </a:p>
      </dgm:t>
    </dgm:pt>
    <dgm:pt modelId="{264AB247-B316-4553-8D5B-D26153B3DF22}" type="pres">
      <dgm:prSet presAssocID="{7D7FA5F2-5C82-433C-8552-90F637FBC0B0}" presName="parentText" presStyleLbl="node1" presStyleIdx="0" presStyleCnt="4">
        <dgm:presLayoutVars>
          <dgm:chMax val="0"/>
          <dgm:bulletEnabled val="1"/>
        </dgm:presLayoutVars>
      </dgm:prSet>
      <dgm:spPr>
        <a:prstGeom prst="roundRect">
          <a:avLst/>
        </a:prstGeom>
      </dgm:spPr>
      <dgm:t>
        <a:bodyPr/>
        <a:lstStyle/>
        <a:p>
          <a:endParaRPr lang="en-GB"/>
        </a:p>
      </dgm:t>
    </dgm:pt>
    <dgm:pt modelId="{5C7B4794-B4AE-4B08-A5F2-FC3BF9C2FA85}" type="pres">
      <dgm:prSet presAssocID="{A9477B9B-0B13-4CA7-838A-775264306488}" presName="spacer" presStyleCnt="0"/>
      <dgm:spPr/>
      <dgm:t>
        <a:bodyPr/>
        <a:lstStyle/>
        <a:p>
          <a:endParaRPr lang="en-GB"/>
        </a:p>
      </dgm:t>
    </dgm:pt>
    <dgm:pt modelId="{033989D0-D5FD-4483-BD88-F364A417400C}" type="pres">
      <dgm:prSet presAssocID="{A1DA4093-9494-4699-826F-98493EB4FE4A}" presName="parentText" presStyleLbl="node1" presStyleIdx="1" presStyleCnt="4">
        <dgm:presLayoutVars>
          <dgm:chMax val="0"/>
          <dgm:bulletEnabled val="1"/>
        </dgm:presLayoutVars>
      </dgm:prSet>
      <dgm:spPr>
        <a:prstGeom prst="roundRect">
          <a:avLst/>
        </a:prstGeom>
      </dgm:spPr>
      <dgm:t>
        <a:bodyPr/>
        <a:lstStyle/>
        <a:p>
          <a:endParaRPr lang="en-GB"/>
        </a:p>
      </dgm:t>
    </dgm:pt>
    <dgm:pt modelId="{747DB116-82D8-4C47-961C-AC6C6EBD5FE8}" type="pres">
      <dgm:prSet presAssocID="{59A0DB93-40D5-4FED-B2E9-2F42062720F3}" presName="spacer" presStyleCnt="0"/>
      <dgm:spPr/>
      <dgm:t>
        <a:bodyPr/>
        <a:lstStyle/>
        <a:p>
          <a:endParaRPr lang="en-GB"/>
        </a:p>
      </dgm:t>
    </dgm:pt>
    <dgm:pt modelId="{312D63E7-2A8B-44DD-A48E-88ECA72F8352}" type="pres">
      <dgm:prSet presAssocID="{9B4BA903-E5C4-4E9E-B7C3-FF64D4C38F2F}" presName="parentText" presStyleLbl="node1" presStyleIdx="2" presStyleCnt="4">
        <dgm:presLayoutVars>
          <dgm:chMax val="0"/>
          <dgm:bulletEnabled val="1"/>
        </dgm:presLayoutVars>
      </dgm:prSet>
      <dgm:spPr>
        <a:prstGeom prst="roundRect">
          <a:avLst/>
        </a:prstGeom>
      </dgm:spPr>
      <dgm:t>
        <a:bodyPr/>
        <a:lstStyle/>
        <a:p>
          <a:endParaRPr lang="en-GB"/>
        </a:p>
      </dgm:t>
    </dgm:pt>
    <dgm:pt modelId="{4200EFED-7224-443B-9DA6-66922420EF54}" type="pres">
      <dgm:prSet presAssocID="{EAC6B3DC-70AA-4916-9589-47BEA4520C35}" presName="spacer" presStyleCnt="0"/>
      <dgm:spPr/>
      <dgm:t>
        <a:bodyPr/>
        <a:lstStyle/>
        <a:p>
          <a:endParaRPr lang="en-GB"/>
        </a:p>
      </dgm:t>
    </dgm:pt>
    <dgm:pt modelId="{11B41A05-F917-4524-B3FA-EFA153E1F947}" type="pres">
      <dgm:prSet presAssocID="{2A567647-1644-45DD-B00D-59A6E3E077D0}" presName="parentText" presStyleLbl="node1" presStyleIdx="3" presStyleCnt="4">
        <dgm:presLayoutVars>
          <dgm:chMax val="0"/>
          <dgm:bulletEnabled val="1"/>
        </dgm:presLayoutVars>
      </dgm:prSet>
      <dgm:spPr>
        <a:prstGeom prst="roundRect">
          <a:avLst/>
        </a:prstGeom>
      </dgm:spPr>
      <dgm:t>
        <a:bodyPr/>
        <a:lstStyle/>
        <a:p>
          <a:endParaRPr lang="en-GB"/>
        </a:p>
      </dgm:t>
    </dgm:pt>
  </dgm:ptLst>
  <dgm:cxnLst>
    <dgm:cxn modelId="{D02F0108-0CDC-4360-9795-6F156D4C3FFB}" srcId="{7C262D1C-8014-463A-A832-17AC27504F28}" destId="{7D7FA5F2-5C82-433C-8552-90F637FBC0B0}" srcOrd="0" destOrd="0" parTransId="{A8660F74-B3E8-4DE7-9E21-4461C44332F0}" sibTransId="{A9477B9B-0B13-4CA7-838A-775264306488}"/>
    <dgm:cxn modelId="{02E00032-B461-4AD8-8A22-86F34C0933E1}" type="presOf" srcId="{7C262D1C-8014-463A-A832-17AC27504F28}" destId="{99CBAD9B-5B97-4524-B744-D93106E8A4EB}" srcOrd="0" destOrd="0" presId="urn:microsoft.com/office/officeart/2005/8/layout/vList2"/>
    <dgm:cxn modelId="{93B3B4C0-E76A-4E00-ACAD-996B504AD2A0}" type="presOf" srcId="{7D7FA5F2-5C82-433C-8552-90F637FBC0B0}" destId="{264AB247-B316-4553-8D5B-D26153B3DF22}" srcOrd="0" destOrd="0" presId="urn:microsoft.com/office/officeart/2005/8/layout/vList2"/>
    <dgm:cxn modelId="{34F5E806-3C21-4A3E-BDAC-C3A7C0C2E279}" srcId="{7C262D1C-8014-463A-A832-17AC27504F28}" destId="{2A567647-1644-45DD-B00D-59A6E3E077D0}" srcOrd="3" destOrd="0" parTransId="{FCAC61D0-BD34-4E74-A164-57B3F2CDC529}" sibTransId="{587B34E6-1862-4329-9C46-FB695DCAF1A3}"/>
    <dgm:cxn modelId="{3AE9C1C4-7187-4840-80D7-562DF312334C}" srcId="{7C262D1C-8014-463A-A832-17AC27504F28}" destId="{A1DA4093-9494-4699-826F-98493EB4FE4A}" srcOrd="1" destOrd="0" parTransId="{EE86F97A-602F-4640-8128-1E4FA4D75644}" sibTransId="{59A0DB93-40D5-4FED-B2E9-2F42062720F3}"/>
    <dgm:cxn modelId="{075F8088-B8E2-450A-B4F9-1160CD1056FD}" type="presOf" srcId="{2A567647-1644-45DD-B00D-59A6E3E077D0}" destId="{11B41A05-F917-4524-B3FA-EFA153E1F947}" srcOrd="0" destOrd="0" presId="urn:microsoft.com/office/officeart/2005/8/layout/vList2"/>
    <dgm:cxn modelId="{716D8BD7-D40A-47A6-B34F-CC0AC848EF97}" type="presOf" srcId="{9B4BA903-E5C4-4E9E-B7C3-FF64D4C38F2F}" destId="{312D63E7-2A8B-44DD-A48E-88ECA72F8352}" srcOrd="0" destOrd="0" presId="urn:microsoft.com/office/officeart/2005/8/layout/vList2"/>
    <dgm:cxn modelId="{4FDCEF0C-1C17-4AE4-AFCF-C2D776E14DAA}" type="presOf" srcId="{A1DA4093-9494-4699-826F-98493EB4FE4A}" destId="{033989D0-D5FD-4483-BD88-F364A417400C}" srcOrd="0" destOrd="0" presId="urn:microsoft.com/office/officeart/2005/8/layout/vList2"/>
    <dgm:cxn modelId="{DFE1456D-64ED-432E-9E6C-98481C30EAF1}" srcId="{7C262D1C-8014-463A-A832-17AC27504F28}" destId="{9B4BA903-E5C4-4E9E-B7C3-FF64D4C38F2F}" srcOrd="2" destOrd="0" parTransId="{70A41649-0D62-43D3-B62E-E156997C3E3A}" sibTransId="{EAC6B3DC-70AA-4916-9589-47BEA4520C35}"/>
    <dgm:cxn modelId="{7F54C53D-0253-4A7E-82D5-A6078A0C9036}" type="presParOf" srcId="{99CBAD9B-5B97-4524-B744-D93106E8A4EB}" destId="{264AB247-B316-4553-8D5B-D26153B3DF22}" srcOrd="0" destOrd="0" presId="urn:microsoft.com/office/officeart/2005/8/layout/vList2"/>
    <dgm:cxn modelId="{F0322962-457D-4634-9D9F-0B0DE9CB3B27}" type="presParOf" srcId="{99CBAD9B-5B97-4524-B744-D93106E8A4EB}" destId="{5C7B4794-B4AE-4B08-A5F2-FC3BF9C2FA85}" srcOrd="1" destOrd="0" presId="urn:microsoft.com/office/officeart/2005/8/layout/vList2"/>
    <dgm:cxn modelId="{F9E07ABC-7E7C-44B7-96B4-CAFB161B4E20}" type="presParOf" srcId="{99CBAD9B-5B97-4524-B744-D93106E8A4EB}" destId="{033989D0-D5FD-4483-BD88-F364A417400C}" srcOrd="2" destOrd="0" presId="urn:microsoft.com/office/officeart/2005/8/layout/vList2"/>
    <dgm:cxn modelId="{4B2E5CB2-A300-42E4-8AB3-D5997E19EE83}" type="presParOf" srcId="{99CBAD9B-5B97-4524-B744-D93106E8A4EB}" destId="{747DB116-82D8-4C47-961C-AC6C6EBD5FE8}" srcOrd="3" destOrd="0" presId="urn:microsoft.com/office/officeart/2005/8/layout/vList2"/>
    <dgm:cxn modelId="{B66D8A21-F0ED-4F57-81D0-A19A28FC557C}" type="presParOf" srcId="{99CBAD9B-5B97-4524-B744-D93106E8A4EB}" destId="{312D63E7-2A8B-44DD-A48E-88ECA72F8352}" srcOrd="4" destOrd="0" presId="urn:microsoft.com/office/officeart/2005/8/layout/vList2"/>
    <dgm:cxn modelId="{75561997-2C3D-44F4-A3C9-530DB361FF79}" type="presParOf" srcId="{99CBAD9B-5B97-4524-B744-D93106E8A4EB}" destId="{4200EFED-7224-443B-9DA6-66922420EF54}" srcOrd="5" destOrd="0" presId="urn:microsoft.com/office/officeart/2005/8/layout/vList2"/>
    <dgm:cxn modelId="{C49B1BA0-C0EB-48CC-9AD5-BEC21F4F35C6}" type="presParOf" srcId="{99CBAD9B-5B97-4524-B744-D93106E8A4EB}" destId="{11B41A05-F917-4524-B3FA-EFA153E1F947}" srcOrd="6"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C262D1C-8014-463A-A832-17AC27504F28}" type="doc">
      <dgm:prSet loTypeId="urn:microsoft.com/office/officeart/2005/8/layout/vList2" loCatId="list" qsTypeId="urn:microsoft.com/office/officeart/2005/8/quickstyle/simple5" qsCatId="simple" csTypeId="urn:microsoft.com/office/officeart/2005/8/colors/accent3_5" csCatId="accent3" phldr="1"/>
      <dgm:spPr/>
      <dgm:t>
        <a:bodyPr/>
        <a:lstStyle/>
        <a:p>
          <a:endParaRPr lang="en-GB"/>
        </a:p>
      </dgm:t>
    </dgm:pt>
    <dgm:pt modelId="{7D7FA5F2-5C82-433C-8552-90F637FBC0B0}">
      <dgm:prSet phldrT="[Text]" custT="1"/>
      <dgm:spPr>
        <a:xfrm>
          <a:off x="0" y="2505"/>
          <a:ext cx="6305550" cy="336960"/>
        </a:xfrm>
      </dgm:spPr>
      <dgm:t>
        <a:bodyPr/>
        <a:lstStyle/>
        <a:p>
          <a:r>
            <a:rPr lang="en-GB" sz="1400" b="1">
              <a:latin typeface="Calibri"/>
              <a:ea typeface="+mn-ea"/>
              <a:cs typeface="+mn-cs"/>
            </a:rPr>
            <a:t>17  		</a:t>
          </a:r>
          <a:r>
            <a:rPr lang="en-GB" sz="1400" b="0">
              <a:latin typeface="Calibri"/>
              <a:ea typeface="+mn-ea"/>
              <a:cs typeface="+mn-cs"/>
            </a:rPr>
            <a:t>Board of Directors</a:t>
          </a:r>
        </a:p>
      </dgm:t>
    </dgm:pt>
    <dgm:pt modelId="{A8660F74-B3E8-4DE7-9E21-4461C44332F0}" type="parTrans" cxnId="{D02F0108-0CDC-4360-9795-6F156D4C3FFB}">
      <dgm:prSet/>
      <dgm:spPr/>
      <dgm:t>
        <a:bodyPr/>
        <a:lstStyle/>
        <a:p>
          <a:endParaRPr lang="en-GB"/>
        </a:p>
      </dgm:t>
    </dgm:pt>
    <dgm:pt modelId="{A9477B9B-0B13-4CA7-838A-775264306488}" type="sibTrans" cxnId="{D02F0108-0CDC-4360-9795-6F156D4C3FFB}">
      <dgm:prSet/>
      <dgm:spPr/>
      <dgm:t>
        <a:bodyPr/>
        <a:lstStyle/>
        <a:p>
          <a:endParaRPr lang="en-GB"/>
        </a:p>
      </dgm:t>
    </dgm:pt>
    <dgm:pt modelId="{99CBAD9B-5B97-4524-B744-D93106E8A4EB}" type="pres">
      <dgm:prSet presAssocID="{7C262D1C-8014-463A-A832-17AC27504F28}" presName="linear" presStyleCnt="0">
        <dgm:presLayoutVars>
          <dgm:animLvl val="lvl"/>
          <dgm:resizeHandles val="exact"/>
        </dgm:presLayoutVars>
      </dgm:prSet>
      <dgm:spPr/>
      <dgm:t>
        <a:bodyPr/>
        <a:lstStyle/>
        <a:p>
          <a:endParaRPr lang="en-GB"/>
        </a:p>
      </dgm:t>
    </dgm:pt>
    <dgm:pt modelId="{264AB247-B316-4553-8D5B-D26153B3DF22}" type="pres">
      <dgm:prSet presAssocID="{7D7FA5F2-5C82-433C-8552-90F637FBC0B0}" presName="parentText" presStyleLbl="node1" presStyleIdx="0" presStyleCnt="1" custLinFactNeighborX="-302" custLinFactNeighborY="12922">
        <dgm:presLayoutVars>
          <dgm:chMax val="0"/>
          <dgm:bulletEnabled val="1"/>
        </dgm:presLayoutVars>
      </dgm:prSet>
      <dgm:spPr>
        <a:prstGeom prst="roundRect">
          <a:avLst/>
        </a:prstGeom>
      </dgm:spPr>
      <dgm:t>
        <a:bodyPr/>
        <a:lstStyle/>
        <a:p>
          <a:endParaRPr lang="en-GB"/>
        </a:p>
      </dgm:t>
    </dgm:pt>
  </dgm:ptLst>
  <dgm:cxnLst>
    <dgm:cxn modelId="{CD50C993-0E28-45A6-881E-DCEC42186629}" type="presOf" srcId="{7D7FA5F2-5C82-433C-8552-90F637FBC0B0}" destId="{264AB247-B316-4553-8D5B-D26153B3DF22}" srcOrd="0" destOrd="0" presId="urn:microsoft.com/office/officeart/2005/8/layout/vList2"/>
    <dgm:cxn modelId="{29735957-C21C-45EB-B890-07356EA19B38}" type="presOf" srcId="{7C262D1C-8014-463A-A832-17AC27504F28}" destId="{99CBAD9B-5B97-4524-B744-D93106E8A4EB}" srcOrd="0" destOrd="0" presId="urn:microsoft.com/office/officeart/2005/8/layout/vList2"/>
    <dgm:cxn modelId="{D02F0108-0CDC-4360-9795-6F156D4C3FFB}" srcId="{7C262D1C-8014-463A-A832-17AC27504F28}" destId="{7D7FA5F2-5C82-433C-8552-90F637FBC0B0}" srcOrd="0" destOrd="0" parTransId="{A8660F74-B3E8-4DE7-9E21-4461C44332F0}" sibTransId="{A9477B9B-0B13-4CA7-838A-775264306488}"/>
    <dgm:cxn modelId="{A403F780-C32F-4907-85A1-CEE68A8E9657}" type="presParOf" srcId="{99CBAD9B-5B97-4524-B744-D93106E8A4EB}" destId="{264AB247-B316-4553-8D5B-D26153B3DF22}" srcOrd="0"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C262D1C-8014-463A-A832-17AC27504F28}" type="doc">
      <dgm:prSet loTypeId="urn:microsoft.com/office/officeart/2005/8/layout/vList2" loCatId="list" qsTypeId="urn:microsoft.com/office/officeart/2005/8/quickstyle/simple5" qsCatId="simple" csTypeId="urn:microsoft.com/office/officeart/2005/8/colors/accent3_5" csCatId="accent3" phldr="1"/>
      <dgm:spPr/>
      <dgm:t>
        <a:bodyPr/>
        <a:lstStyle/>
        <a:p>
          <a:endParaRPr lang="en-GB"/>
        </a:p>
      </dgm:t>
    </dgm:pt>
    <dgm:pt modelId="{7D7FA5F2-5C82-433C-8552-90F637FBC0B0}">
      <dgm:prSet phldrT="[Text]" custT="1"/>
      <dgm:spPr>
        <a:xfrm>
          <a:off x="0" y="2505"/>
          <a:ext cx="6305550" cy="336960"/>
        </a:xfrm>
      </dgm:spPr>
      <dgm:t>
        <a:bodyPr/>
        <a:lstStyle/>
        <a:p>
          <a:r>
            <a:rPr lang="en-GB" sz="1400" b="1">
              <a:latin typeface="Calibri"/>
              <a:ea typeface="+mn-ea"/>
              <a:cs typeface="+mn-cs"/>
            </a:rPr>
            <a:t>18		</a:t>
          </a:r>
          <a:r>
            <a:rPr lang="en-GB" sz="1400" b="0">
              <a:latin typeface="Calibri"/>
              <a:ea typeface="+mn-ea"/>
              <a:cs typeface="+mn-cs"/>
            </a:rPr>
            <a:t>Estimated Year-End Financial Statements</a:t>
          </a:r>
        </a:p>
      </dgm:t>
    </dgm:pt>
    <dgm:pt modelId="{A8660F74-B3E8-4DE7-9E21-4461C44332F0}" type="parTrans" cxnId="{D02F0108-0CDC-4360-9795-6F156D4C3FFB}">
      <dgm:prSet/>
      <dgm:spPr/>
      <dgm:t>
        <a:bodyPr/>
        <a:lstStyle/>
        <a:p>
          <a:endParaRPr lang="en-GB"/>
        </a:p>
      </dgm:t>
    </dgm:pt>
    <dgm:pt modelId="{A9477B9B-0B13-4CA7-838A-775264306488}" type="sibTrans" cxnId="{D02F0108-0CDC-4360-9795-6F156D4C3FFB}">
      <dgm:prSet/>
      <dgm:spPr/>
      <dgm:t>
        <a:bodyPr/>
        <a:lstStyle/>
        <a:p>
          <a:endParaRPr lang="en-GB"/>
        </a:p>
      </dgm:t>
    </dgm:pt>
    <dgm:pt modelId="{A1DA4093-9494-4699-826F-98493EB4FE4A}">
      <dgm:prSet phldrT="[Text]" custT="1"/>
      <dgm:spPr>
        <a:xfrm>
          <a:off x="0" y="365385"/>
          <a:ext cx="6305550" cy="336960"/>
        </a:xfrm>
      </dgm:spPr>
      <dgm:t>
        <a:bodyPr/>
        <a:lstStyle/>
        <a:p>
          <a:r>
            <a:rPr lang="en-GB" sz="1400" b="1">
              <a:latin typeface="Calibri"/>
              <a:ea typeface="+mn-ea"/>
              <a:cs typeface="+mn-cs"/>
            </a:rPr>
            <a:t>22 		</a:t>
          </a:r>
          <a:r>
            <a:rPr lang="en-GB" sz="1400" b="0">
              <a:latin typeface="Calibri"/>
              <a:ea typeface="+mn-ea"/>
              <a:cs typeface="+mn-cs"/>
            </a:rPr>
            <a:t>Notes to the Financial Statements</a:t>
          </a:r>
          <a:endParaRPr lang="en-GB" sz="1400">
            <a:latin typeface="Calibri"/>
            <a:ea typeface="+mn-ea"/>
            <a:cs typeface="+mn-cs"/>
          </a:endParaRPr>
        </a:p>
      </dgm:t>
    </dgm:pt>
    <dgm:pt modelId="{59A0DB93-40D5-4FED-B2E9-2F42062720F3}" type="sibTrans" cxnId="{3AE9C1C4-7187-4840-80D7-562DF312334C}">
      <dgm:prSet/>
      <dgm:spPr/>
      <dgm:t>
        <a:bodyPr/>
        <a:lstStyle/>
        <a:p>
          <a:endParaRPr lang="en-GB"/>
        </a:p>
      </dgm:t>
    </dgm:pt>
    <dgm:pt modelId="{EE86F97A-602F-4640-8128-1E4FA4D75644}" type="parTrans" cxnId="{3AE9C1C4-7187-4840-80D7-562DF312334C}">
      <dgm:prSet/>
      <dgm:spPr/>
      <dgm:t>
        <a:bodyPr/>
        <a:lstStyle/>
        <a:p>
          <a:endParaRPr lang="en-GB"/>
        </a:p>
      </dgm:t>
    </dgm:pt>
    <dgm:pt modelId="{99CBAD9B-5B97-4524-B744-D93106E8A4EB}" type="pres">
      <dgm:prSet presAssocID="{7C262D1C-8014-463A-A832-17AC27504F28}" presName="linear" presStyleCnt="0">
        <dgm:presLayoutVars>
          <dgm:animLvl val="lvl"/>
          <dgm:resizeHandles val="exact"/>
        </dgm:presLayoutVars>
      </dgm:prSet>
      <dgm:spPr/>
      <dgm:t>
        <a:bodyPr/>
        <a:lstStyle/>
        <a:p>
          <a:endParaRPr lang="en-GB"/>
        </a:p>
      </dgm:t>
    </dgm:pt>
    <dgm:pt modelId="{264AB247-B316-4553-8D5B-D26153B3DF22}" type="pres">
      <dgm:prSet presAssocID="{7D7FA5F2-5C82-433C-8552-90F637FBC0B0}" presName="parentText" presStyleLbl="node1" presStyleIdx="0" presStyleCnt="2">
        <dgm:presLayoutVars>
          <dgm:chMax val="0"/>
          <dgm:bulletEnabled val="1"/>
        </dgm:presLayoutVars>
      </dgm:prSet>
      <dgm:spPr>
        <a:prstGeom prst="roundRect">
          <a:avLst/>
        </a:prstGeom>
      </dgm:spPr>
      <dgm:t>
        <a:bodyPr/>
        <a:lstStyle/>
        <a:p>
          <a:endParaRPr lang="en-GB"/>
        </a:p>
      </dgm:t>
    </dgm:pt>
    <dgm:pt modelId="{5C7B4794-B4AE-4B08-A5F2-FC3BF9C2FA85}" type="pres">
      <dgm:prSet presAssocID="{A9477B9B-0B13-4CA7-838A-775264306488}" presName="spacer" presStyleCnt="0"/>
      <dgm:spPr/>
      <dgm:t>
        <a:bodyPr/>
        <a:lstStyle/>
        <a:p>
          <a:endParaRPr lang="en-GB"/>
        </a:p>
      </dgm:t>
    </dgm:pt>
    <dgm:pt modelId="{033989D0-D5FD-4483-BD88-F364A417400C}" type="pres">
      <dgm:prSet presAssocID="{A1DA4093-9494-4699-826F-98493EB4FE4A}" presName="parentText" presStyleLbl="node1" presStyleIdx="1" presStyleCnt="2">
        <dgm:presLayoutVars>
          <dgm:chMax val="0"/>
          <dgm:bulletEnabled val="1"/>
        </dgm:presLayoutVars>
      </dgm:prSet>
      <dgm:spPr>
        <a:prstGeom prst="roundRect">
          <a:avLst/>
        </a:prstGeom>
      </dgm:spPr>
      <dgm:t>
        <a:bodyPr/>
        <a:lstStyle/>
        <a:p>
          <a:endParaRPr lang="en-GB"/>
        </a:p>
      </dgm:t>
    </dgm:pt>
  </dgm:ptLst>
  <dgm:cxnLst>
    <dgm:cxn modelId="{3AE9C1C4-7187-4840-80D7-562DF312334C}" srcId="{7C262D1C-8014-463A-A832-17AC27504F28}" destId="{A1DA4093-9494-4699-826F-98493EB4FE4A}" srcOrd="1" destOrd="0" parTransId="{EE86F97A-602F-4640-8128-1E4FA4D75644}" sibTransId="{59A0DB93-40D5-4FED-B2E9-2F42062720F3}"/>
    <dgm:cxn modelId="{8050D120-604D-42FC-B346-9AC0B4134B20}" type="presOf" srcId="{7C262D1C-8014-463A-A832-17AC27504F28}" destId="{99CBAD9B-5B97-4524-B744-D93106E8A4EB}" srcOrd="0" destOrd="0" presId="urn:microsoft.com/office/officeart/2005/8/layout/vList2"/>
    <dgm:cxn modelId="{1F265304-1221-442B-B961-07CFD8969ECC}" type="presOf" srcId="{A1DA4093-9494-4699-826F-98493EB4FE4A}" destId="{033989D0-D5FD-4483-BD88-F364A417400C}" srcOrd="0" destOrd="0" presId="urn:microsoft.com/office/officeart/2005/8/layout/vList2"/>
    <dgm:cxn modelId="{D21F6A40-1863-4877-92EC-B6A37B8FD182}" type="presOf" srcId="{7D7FA5F2-5C82-433C-8552-90F637FBC0B0}" destId="{264AB247-B316-4553-8D5B-D26153B3DF22}" srcOrd="0" destOrd="0" presId="urn:microsoft.com/office/officeart/2005/8/layout/vList2"/>
    <dgm:cxn modelId="{D02F0108-0CDC-4360-9795-6F156D4C3FFB}" srcId="{7C262D1C-8014-463A-A832-17AC27504F28}" destId="{7D7FA5F2-5C82-433C-8552-90F637FBC0B0}" srcOrd="0" destOrd="0" parTransId="{A8660F74-B3E8-4DE7-9E21-4461C44332F0}" sibTransId="{A9477B9B-0B13-4CA7-838A-775264306488}"/>
    <dgm:cxn modelId="{B1349A0D-4323-4579-8C8A-A5C56AEB00E6}" type="presParOf" srcId="{99CBAD9B-5B97-4524-B744-D93106E8A4EB}" destId="{264AB247-B316-4553-8D5B-D26153B3DF22}" srcOrd="0" destOrd="0" presId="urn:microsoft.com/office/officeart/2005/8/layout/vList2"/>
    <dgm:cxn modelId="{959B185B-1FA6-475A-9343-30C236181C07}" type="presParOf" srcId="{99CBAD9B-5B97-4524-B744-D93106E8A4EB}" destId="{5C7B4794-B4AE-4B08-A5F2-FC3BF9C2FA85}" srcOrd="1" destOrd="0" presId="urn:microsoft.com/office/officeart/2005/8/layout/vList2"/>
    <dgm:cxn modelId="{1DFF1F1D-94A2-4182-9898-012DE42D973F}" type="presParOf" srcId="{99CBAD9B-5B97-4524-B744-D93106E8A4EB}" destId="{033989D0-D5FD-4483-BD88-F364A417400C}" srcOrd="2"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2C98552-2CD1-46A0-868E-0DBE75781F70}" type="doc">
      <dgm:prSet loTypeId="urn:microsoft.com/office/officeart/2005/8/layout/cycle8" loCatId="cycle" qsTypeId="urn:microsoft.com/office/officeart/2005/8/quickstyle/simple1" qsCatId="simple" csTypeId="urn:microsoft.com/office/officeart/2005/8/colors/accent3_5" csCatId="accent3" phldr="1"/>
      <dgm:spPr/>
    </dgm:pt>
    <dgm:pt modelId="{6EB32CC7-E521-4B61-8C1E-5C2F4283F65C}">
      <dgm:prSet phldrT="[Text]"/>
      <dgm:spPr/>
      <dgm:t>
        <a:bodyPr/>
        <a:lstStyle/>
        <a:p>
          <a:r>
            <a:rPr lang="en-GB"/>
            <a:t>NPV</a:t>
          </a:r>
        </a:p>
      </dgm:t>
    </dgm:pt>
    <dgm:pt modelId="{E5267CBA-0C51-4ECB-85BB-680ADBC5A850}" type="parTrans" cxnId="{D8A6DE1B-5ECD-469D-85E5-9CE7A21E398A}">
      <dgm:prSet/>
      <dgm:spPr/>
      <dgm:t>
        <a:bodyPr/>
        <a:lstStyle/>
        <a:p>
          <a:endParaRPr lang="en-GB"/>
        </a:p>
      </dgm:t>
    </dgm:pt>
    <dgm:pt modelId="{4C60B779-928A-4572-89F1-8F43E757056B}" type="sibTrans" cxnId="{D8A6DE1B-5ECD-469D-85E5-9CE7A21E398A}">
      <dgm:prSet/>
      <dgm:spPr/>
      <dgm:t>
        <a:bodyPr/>
        <a:lstStyle/>
        <a:p>
          <a:endParaRPr lang="en-GB"/>
        </a:p>
      </dgm:t>
    </dgm:pt>
    <dgm:pt modelId="{EBAC8072-2AB7-4FAB-9080-07544FE936B0}">
      <dgm:prSet phldrT="[Text]"/>
      <dgm:spPr/>
      <dgm:t>
        <a:bodyPr/>
        <a:lstStyle/>
        <a:p>
          <a:r>
            <a:rPr lang="en-GB"/>
            <a:t>PYB</a:t>
          </a:r>
        </a:p>
      </dgm:t>
    </dgm:pt>
    <dgm:pt modelId="{81E22DAD-6228-4B4E-AF49-BC29DEB6E491}" type="parTrans" cxnId="{96E1DD26-6DA1-4704-AA56-2C916B69F084}">
      <dgm:prSet/>
      <dgm:spPr/>
      <dgm:t>
        <a:bodyPr/>
        <a:lstStyle/>
        <a:p>
          <a:endParaRPr lang="en-GB"/>
        </a:p>
      </dgm:t>
    </dgm:pt>
    <dgm:pt modelId="{61062B21-C57B-4DFF-96C1-31080C8DC06C}" type="sibTrans" cxnId="{96E1DD26-6DA1-4704-AA56-2C916B69F084}">
      <dgm:prSet/>
      <dgm:spPr/>
      <dgm:t>
        <a:bodyPr/>
        <a:lstStyle/>
        <a:p>
          <a:endParaRPr lang="en-GB"/>
        </a:p>
      </dgm:t>
    </dgm:pt>
    <dgm:pt modelId="{BD506A68-BB46-4240-B9BE-86F03B499FC6}">
      <dgm:prSet phldrT="[Text]"/>
      <dgm:spPr/>
      <dgm:t>
        <a:bodyPr/>
        <a:lstStyle/>
        <a:p>
          <a:r>
            <a:rPr lang="en-GB"/>
            <a:t>IRR</a:t>
          </a:r>
        </a:p>
      </dgm:t>
    </dgm:pt>
    <dgm:pt modelId="{B13083C8-6837-424B-A73D-3A99753A4C60}" type="parTrans" cxnId="{65090D36-CC3D-4F1D-9521-CF3AB08CB883}">
      <dgm:prSet/>
      <dgm:spPr/>
      <dgm:t>
        <a:bodyPr/>
        <a:lstStyle/>
        <a:p>
          <a:endParaRPr lang="en-GB"/>
        </a:p>
      </dgm:t>
    </dgm:pt>
    <dgm:pt modelId="{C3CC3EFE-A475-4F0D-A730-185DE595E9D5}" type="sibTrans" cxnId="{65090D36-CC3D-4F1D-9521-CF3AB08CB883}">
      <dgm:prSet/>
      <dgm:spPr/>
      <dgm:t>
        <a:bodyPr/>
        <a:lstStyle/>
        <a:p>
          <a:endParaRPr lang="en-GB"/>
        </a:p>
      </dgm:t>
    </dgm:pt>
    <dgm:pt modelId="{EAB111BD-C604-4F15-8D64-DB5F509DDBB9}" type="pres">
      <dgm:prSet presAssocID="{72C98552-2CD1-46A0-868E-0DBE75781F70}" presName="compositeShape" presStyleCnt="0">
        <dgm:presLayoutVars>
          <dgm:chMax val="7"/>
          <dgm:dir/>
          <dgm:resizeHandles val="exact"/>
        </dgm:presLayoutVars>
      </dgm:prSet>
      <dgm:spPr/>
    </dgm:pt>
    <dgm:pt modelId="{D371E546-45E8-4EF8-8A28-3BD757C4E33D}" type="pres">
      <dgm:prSet presAssocID="{72C98552-2CD1-46A0-868E-0DBE75781F70}" presName="wedge1" presStyleLbl="node1" presStyleIdx="0" presStyleCnt="3"/>
      <dgm:spPr/>
      <dgm:t>
        <a:bodyPr/>
        <a:lstStyle/>
        <a:p>
          <a:endParaRPr lang="en-GB"/>
        </a:p>
      </dgm:t>
    </dgm:pt>
    <dgm:pt modelId="{3E304F1F-B416-4CF3-9DCA-22FD1BBDE212}" type="pres">
      <dgm:prSet presAssocID="{72C98552-2CD1-46A0-868E-0DBE75781F70}" presName="dummy1a" presStyleCnt="0"/>
      <dgm:spPr/>
    </dgm:pt>
    <dgm:pt modelId="{D5290E4D-742F-4E21-94B0-EF70978B0B92}" type="pres">
      <dgm:prSet presAssocID="{72C98552-2CD1-46A0-868E-0DBE75781F70}" presName="dummy1b" presStyleCnt="0"/>
      <dgm:spPr/>
    </dgm:pt>
    <dgm:pt modelId="{0C7B0EEE-22E4-436D-A4EC-A8D06FE6C450}" type="pres">
      <dgm:prSet presAssocID="{72C98552-2CD1-46A0-868E-0DBE75781F70}" presName="wedge1Tx" presStyleLbl="node1" presStyleIdx="0" presStyleCnt="3">
        <dgm:presLayoutVars>
          <dgm:chMax val="0"/>
          <dgm:chPref val="0"/>
          <dgm:bulletEnabled val="1"/>
        </dgm:presLayoutVars>
      </dgm:prSet>
      <dgm:spPr/>
      <dgm:t>
        <a:bodyPr/>
        <a:lstStyle/>
        <a:p>
          <a:endParaRPr lang="en-GB"/>
        </a:p>
      </dgm:t>
    </dgm:pt>
    <dgm:pt modelId="{9B7D8193-5CA1-451C-91AA-02B56C78F5E6}" type="pres">
      <dgm:prSet presAssocID="{72C98552-2CD1-46A0-868E-0DBE75781F70}" presName="wedge2" presStyleLbl="node1" presStyleIdx="1" presStyleCnt="3"/>
      <dgm:spPr/>
      <dgm:t>
        <a:bodyPr/>
        <a:lstStyle/>
        <a:p>
          <a:endParaRPr lang="en-GB"/>
        </a:p>
      </dgm:t>
    </dgm:pt>
    <dgm:pt modelId="{4ADD8450-D2B8-47AB-8BA4-26E09800F6A0}" type="pres">
      <dgm:prSet presAssocID="{72C98552-2CD1-46A0-868E-0DBE75781F70}" presName="dummy2a" presStyleCnt="0"/>
      <dgm:spPr/>
    </dgm:pt>
    <dgm:pt modelId="{55E689FF-F750-4BA7-AD47-DF645BE1CE00}" type="pres">
      <dgm:prSet presAssocID="{72C98552-2CD1-46A0-868E-0DBE75781F70}" presName="dummy2b" presStyleCnt="0"/>
      <dgm:spPr/>
    </dgm:pt>
    <dgm:pt modelId="{3FE6B567-B348-43CE-95FA-909ED774CF90}" type="pres">
      <dgm:prSet presAssocID="{72C98552-2CD1-46A0-868E-0DBE75781F70}" presName="wedge2Tx" presStyleLbl="node1" presStyleIdx="1" presStyleCnt="3">
        <dgm:presLayoutVars>
          <dgm:chMax val="0"/>
          <dgm:chPref val="0"/>
          <dgm:bulletEnabled val="1"/>
        </dgm:presLayoutVars>
      </dgm:prSet>
      <dgm:spPr/>
      <dgm:t>
        <a:bodyPr/>
        <a:lstStyle/>
        <a:p>
          <a:endParaRPr lang="en-GB"/>
        </a:p>
      </dgm:t>
    </dgm:pt>
    <dgm:pt modelId="{88045F46-ED18-4B9A-A3F3-8691EF707DB1}" type="pres">
      <dgm:prSet presAssocID="{72C98552-2CD1-46A0-868E-0DBE75781F70}" presName="wedge3" presStyleLbl="node1" presStyleIdx="2" presStyleCnt="3"/>
      <dgm:spPr/>
      <dgm:t>
        <a:bodyPr/>
        <a:lstStyle/>
        <a:p>
          <a:endParaRPr lang="en-GB"/>
        </a:p>
      </dgm:t>
    </dgm:pt>
    <dgm:pt modelId="{29DE3ABA-D714-4497-A3AB-04C70562D68E}" type="pres">
      <dgm:prSet presAssocID="{72C98552-2CD1-46A0-868E-0DBE75781F70}" presName="dummy3a" presStyleCnt="0"/>
      <dgm:spPr/>
    </dgm:pt>
    <dgm:pt modelId="{5294EC9F-CC19-4C2F-8F96-B1030D906868}" type="pres">
      <dgm:prSet presAssocID="{72C98552-2CD1-46A0-868E-0DBE75781F70}" presName="dummy3b" presStyleCnt="0"/>
      <dgm:spPr/>
    </dgm:pt>
    <dgm:pt modelId="{D92ED8F6-FC6C-4E98-8D40-DB453712FA20}" type="pres">
      <dgm:prSet presAssocID="{72C98552-2CD1-46A0-868E-0DBE75781F70}" presName="wedge3Tx" presStyleLbl="node1" presStyleIdx="2" presStyleCnt="3">
        <dgm:presLayoutVars>
          <dgm:chMax val="0"/>
          <dgm:chPref val="0"/>
          <dgm:bulletEnabled val="1"/>
        </dgm:presLayoutVars>
      </dgm:prSet>
      <dgm:spPr/>
      <dgm:t>
        <a:bodyPr/>
        <a:lstStyle/>
        <a:p>
          <a:endParaRPr lang="en-GB"/>
        </a:p>
      </dgm:t>
    </dgm:pt>
    <dgm:pt modelId="{C509DB3A-AF97-4BEF-9F24-F65BA6857B44}" type="pres">
      <dgm:prSet presAssocID="{4C60B779-928A-4572-89F1-8F43E757056B}" presName="arrowWedge1" presStyleLbl="fgSibTrans2D1" presStyleIdx="0" presStyleCnt="3"/>
      <dgm:spPr/>
    </dgm:pt>
    <dgm:pt modelId="{DD48463B-32B0-4A43-8CD2-2DF9CBD696C7}" type="pres">
      <dgm:prSet presAssocID="{61062B21-C57B-4DFF-96C1-31080C8DC06C}" presName="arrowWedge2" presStyleLbl="fgSibTrans2D1" presStyleIdx="1" presStyleCnt="3"/>
      <dgm:spPr/>
    </dgm:pt>
    <dgm:pt modelId="{838DDD9A-C018-4FEE-9204-DF1287DDD634}" type="pres">
      <dgm:prSet presAssocID="{C3CC3EFE-A475-4F0D-A730-185DE595E9D5}" presName="arrowWedge3" presStyleLbl="fgSibTrans2D1" presStyleIdx="2" presStyleCnt="3"/>
      <dgm:spPr/>
    </dgm:pt>
  </dgm:ptLst>
  <dgm:cxnLst>
    <dgm:cxn modelId="{6C3FFB00-0CA4-4C3C-8830-E8AC9D9AA1CC}" type="presOf" srcId="{BD506A68-BB46-4240-B9BE-86F03B499FC6}" destId="{88045F46-ED18-4B9A-A3F3-8691EF707DB1}" srcOrd="0" destOrd="0" presId="urn:microsoft.com/office/officeart/2005/8/layout/cycle8"/>
    <dgm:cxn modelId="{9D7B45DF-6452-4CDF-840F-D05C027C2ACB}" type="presOf" srcId="{6EB32CC7-E521-4B61-8C1E-5C2F4283F65C}" destId="{0C7B0EEE-22E4-436D-A4EC-A8D06FE6C450}" srcOrd="1" destOrd="0" presId="urn:microsoft.com/office/officeart/2005/8/layout/cycle8"/>
    <dgm:cxn modelId="{D31E7F50-3AB1-447B-AAF5-7C1651FAE4CA}" type="presOf" srcId="{72C98552-2CD1-46A0-868E-0DBE75781F70}" destId="{EAB111BD-C604-4F15-8D64-DB5F509DDBB9}" srcOrd="0" destOrd="0" presId="urn:microsoft.com/office/officeart/2005/8/layout/cycle8"/>
    <dgm:cxn modelId="{D8A6DE1B-5ECD-469D-85E5-9CE7A21E398A}" srcId="{72C98552-2CD1-46A0-868E-0DBE75781F70}" destId="{6EB32CC7-E521-4B61-8C1E-5C2F4283F65C}" srcOrd="0" destOrd="0" parTransId="{E5267CBA-0C51-4ECB-85BB-680ADBC5A850}" sibTransId="{4C60B779-928A-4572-89F1-8F43E757056B}"/>
    <dgm:cxn modelId="{AF111C27-5ED9-4D58-BF47-BB3CC05ED210}" type="presOf" srcId="{EBAC8072-2AB7-4FAB-9080-07544FE936B0}" destId="{3FE6B567-B348-43CE-95FA-909ED774CF90}" srcOrd="1" destOrd="0" presId="urn:microsoft.com/office/officeart/2005/8/layout/cycle8"/>
    <dgm:cxn modelId="{96E1DD26-6DA1-4704-AA56-2C916B69F084}" srcId="{72C98552-2CD1-46A0-868E-0DBE75781F70}" destId="{EBAC8072-2AB7-4FAB-9080-07544FE936B0}" srcOrd="1" destOrd="0" parTransId="{81E22DAD-6228-4B4E-AF49-BC29DEB6E491}" sibTransId="{61062B21-C57B-4DFF-96C1-31080C8DC06C}"/>
    <dgm:cxn modelId="{65090D36-CC3D-4F1D-9521-CF3AB08CB883}" srcId="{72C98552-2CD1-46A0-868E-0DBE75781F70}" destId="{BD506A68-BB46-4240-B9BE-86F03B499FC6}" srcOrd="2" destOrd="0" parTransId="{B13083C8-6837-424B-A73D-3A99753A4C60}" sibTransId="{C3CC3EFE-A475-4F0D-A730-185DE595E9D5}"/>
    <dgm:cxn modelId="{97EA5E92-A4D2-4256-98FF-91C5F1ADEABA}" type="presOf" srcId="{6EB32CC7-E521-4B61-8C1E-5C2F4283F65C}" destId="{D371E546-45E8-4EF8-8A28-3BD757C4E33D}" srcOrd="0" destOrd="0" presId="urn:microsoft.com/office/officeart/2005/8/layout/cycle8"/>
    <dgm:cxn modelId="{1E975CF7-897A-4BFB-8407-2AD48A585816}" type="presOf" srcId="{EBAC8072-2AB7-4FAB-9080-07544FE936B0}" destId="{9B7D8193-5CA1-451C-91AA-02B56C78F5E6}" srcOrd="0" destOrd="0" presId="urn:microsoft.com/office/officeart/2005/8/layout/cycle8"/>
    <dgm:cxn modelId="{9D57162F-8E1E-4AC7-ADCE-AF48BB9146C3}" type="presOf" srcId="{BD506A68-BB46-4240-B9BE-86F03B499FC6}" destId="{D92ED8F6-FC6C-4E98-8D40-DB453712FA20}" srcOrd="1" destOrd="0" presId="urn:microsoft.com/office/officeart/2005/8/layout/cycle8"/>
    <dgm:cxn modelId="{6F88BE8A-F0D3-4A70-8649-79E28E3E1366}" type="presParOf" srcId="{EAB111BD-C604-4F15-8D64-DB5F509DDBB9}" destId="{D371E546-45E8-4EF8-8A28-3BD757C4E33D}" srcOrd="0" destOrd="0" presId="urn:microsoft.com/office/officeart/2005/8/layout/cycle8"/>
    <dgm:cxn modelId="{061D782B-709C-49AF-9B41-598384FEBFA5}" type="presParOf" srcId="{EAB111BD-C604-4F15-8D64-DB5F509DDBB9}" destId="{3E304F1F-B416-4CF3-9DCA-22FD1BBDE212}" srcOrd="1" destOrd="0" presId="urn:microsoft.com/office/officeart/2005/8/layout/cycle8"/>
    <dgm:cxn modelId="{5640A4D8-AEE3-4DF1-8FFC-9E0FB92A8CF9}" type="presParOf" srcId="{EAB111BD-C604-4F15-8D64-DB5F509DDBB9}" destId="{D5290E4D-742F-4E21-94B0-EF70978B0B92}" srcOrd="2" destOrd="0" presId="urn:microsoft.com/office/officeart/2005/8/layout/cycle8"/>
    <dgm:cxn modelId="{5605E729-823E-4C6D-94B6-5BF547ED3AED}" type="presParOf" srcId="{EAB111BD-C604-4F15-8D64-DB5F509DDBB9}" destId="{0C7B0EEE-22E4-436D-A4EC-A8D06FE6C450}" srcOrd="3" destOrd="0" presId="urn:microsoft.com/office/officeart/2005/8/layout/cycle8"/>
    <dgm:cxn modelId="{66F1A172-B22C-4ACE-8B81-D92288F8EF2C}" type="presParOf" srcId="{EAB111BD-C604-4F15-8D64-DB5F509DDBB9}" destId="{9B7D8193-5CA1-451C-91AA-02B56C78F5E6}" srcOrd="4" destOrd="0" presId="urn:microsoft.com/office/officeart/2005/8/layout/cycle8"/>
    <dgm:cxn modelId="{3E2FB9C8-2510-47C5-9663-02E340FAC265}" type="presParOf" srcId="{EAB111BD-C604-4F15-8D64-DB5F509DDBB9}" destId="{4ADD8450-D2B8-47AB-8BA4-26E09800F6A0}" srcOrd="5" destOrd="0" presId="urn:microsoft.com/office/officeart/2005/8/layout/cycle8"/>
    <dgm:cxn modelId="{75B950FE-035A-4FF0-B1DA-39897EDDCD60}" type="presParOf" srcId="{EAB111BD-C604-4F15-8D64-DB5F509DDBB9}" destId="{55E689FF-F750-4BA7-AD47-DF645BE1CE00}" srcOrd="6" destOrd="0" presId="urn:microsoft.com/office/officeart/2005/8/layout/cycle8"/>
    <dgm:cxn modelId="{CD073573-29B1-464D-80D4-7DA9A86B8BE5}" type="presParOf" srcId="{EAB111BD-C604-4F15-8D64-DB5F509DDBB9}" destId="{3FE6B567-B348-43CE-95FA-909ED774CF90}" srcOrd="7" destOrd="0" presId="urn:microsoft.com/office/officeart/2005/8/layout/cycle8"/>
    <dgm:cxn modelId="{D4047D75-0B85-40BB-99A9-E8F4E4924096}" type="presParOf" srcId="{EAB111BD-C604-4F15-8D64-DB5F509DDBB9}" destId="{88045F46-ED18-4B9A-A3F3-8691EF707DB1}" srcOrd="8" destOrd="0" presId="urn:microsoft.com/office/officeart/2005/8/layout/cycle8"/>
    <dgm:cxn modelId="{197967E8-E376-4393-B5D4-0E59439AD9A6}" type="presParOf" srcId="{EAB111BD-C604-4F15-8D64-DB5F509DDBB9}" destId="{29DE3ABA-D714-4497-A3AB-04C70562D68E}" srcOrd="9" destOrd="0" presId="urn:microsoft.com/office/officeart/2005/8/layout/cycle8"/>
    <dgm:cxn modelId="{5599911E-93A5-4B18-A272-D8C65D33AD50}" type="presParOf" srcId="{EAB111BD-C604-4F15-8D64-DB5F509DDBB9}" destId="{5294EC9F-CC19-4C2F-8F96-B1030D906868}" srcOrd="10" destOrd="0" presId="urn:microsoft.com/office/officeart/2005/8/layout/cycle8"/>
    <dgm:cxn modelId="{879994E9-CF9A-4344-85BF-D6E8608C5A12}" type="presParOf" srcId="{EAB111BD-C604-4F15-8D64-DB5F509DDBB9}" destId="{D92ED8F6-FC6C-4E98-8D40-DB453712FA20}" srcOrd="11" destOrd="0" presId="urn:microsoft.com/office/officeart/2005/8/layout/cycle8"/>
    <dgm:cxn modelId="{227CFBEC-27B2-499A-A07A-FC4B429A351A}" type="presParOf" srcId="{EAB111BD-C604-4F15-8D64-DB5F509DDBB9}" destId="{C509DB3A-AF97-4BEF-9F24-F65BA6857B44}" srcOrd="12" destOrd="0" presId="urn:microsoft.com/office/officeart/2005/8/layout/cycle8"/>
    <dgm:cxn modelId="{7D501BB0-033B-4537-BD2E-0DC8E6A0C103}" type="presParOf" srcId="{EAB111BD-C604-4F15-8D64-DB5F509DDBB9}" destId="{DD48463B-32B0-4A43-8CD2-2DF9CBD696C7}" srcOrd="13" destOrd="0" presId="urn:microsoft.com/office/officeart/2005/8/layout/cycle8"/>
    <dgm:cxn modelId="{906FE649-0668-466F-A7B9-6EDC9CC7B5AC}" type="presParOf" srcId="{EAB111BD-C604-4F15-8D64-DB5F509DDBB9}" destId="{838DDD9A-C018-4FEE-9204-DF1287DDD634}" srcOrd="14" destOrd="0" presId="urn:microsoft.com/office/officeart/2005/8/layout/cycle8"/>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118D87A-4F02-4253-9A5F-3C39F0A7CBA2}" type="doc">
      <dgm:prSet loTypeId="urn:microsoft.com/office/officeart/2005/8/layout/vList5" loCatId="list" qsTypeId="urn:microsoft.com/office/officeart/2005/8/quickstyle/3d3" qsCatId="3D" csTypeId="urn:microsoft.com/office/officeart/2005/8/colors/accent3_5" csCatId="accent3" phldr="1"/>
      <dgm:spPr/>
      <dgm:t>
        <a:bodyPr/>
        <a:lstStyle/>
        <a:p>
          <a:endParaRPr lang="en-GB"/>
        </a:p>
      </dgm:t>
    </dgm:pt>
    <dgm:pt modelId="{84353C17-8592-419A-AB12-F6DCA380E432}">
      <dgm:prSet phldrT="[Text]"/>
      <dgm:spPr>
        <a:xfrm>
          <a:off x="0" y="563"/>
          <a:ext cx="1661922" cy="902763"/>
        </a:xfrm>
      </dgm:spPr>
      <dgm:t>
        <a:bodyPr/>
        <a:lstStyle/>
        <a:p>
          <a:r>
            <a:rPr lang="en-GB">
              <a:latin typeface="Calibri"/>
              <a:ea typeface="+mn-ea"/>
              <a:cs typeface="+mn-cs"/>
            </a:rPr>
            <a:t>Outputs</a:t>
          </a:r>
        </a:p>
      </dgm:t>
    </dgm:pt>
    <dgm:pt modelId="{32B863CF-6E79-49CA-80C4-8F0EF39827D5}" type="parTrans" cxnId="{635197B4-0EFA-4ED8-A0E7-3CAA497F341D}">
      <dgm:prSet/>
      <dgm:spPr/>
      <dgm:t>
        <a:bodyPr/>
        <a:lstStyle/>
        <a:p>
          <a:endParaRPr lang="en-GB"/>
        </a:p>
      </dgm:t>
    </dgm:pt>
    <dgm:pt modelId="{116089C5-3BF6-44CC-A3E1-45C1D1A70881}" type="sibTrans" cxnId="{635197B4-0EFA-4ED8-A0E7-3CAA497F341D}">
      <dgm:prSet/>
      <dgm:spPr/>
      <dgm:t>
        <a:bodyPr/>
        <a:lstStyle/>
        <a:p>
          <a:endParaRPr lang="en-GB"/>
        </a:p>
      </dgm:t>
    </dgm:pt>
    <dgm:pt modelId="{A50C18EB-EEFC-4C2A-A042-840159C3C97A}">
      <dgm:prSet phldrT="[Text]"/>
      <dgm:spPr>
        <a:xfrm rot="5400000">
          <a:off x="2778080" y="-1025319"/>
          <a:ext cx="722210" cy="2954528"/>
        </a:xfrm>
      </dgm:spPr>
      <dgm:t>
        <a:bodyPr/>
        <a:lstStyle/>
        <a:p>
          <a:r>
            <a:rPr lang="en-GB">
              <a:latin typeface="Calibri"/>
              <a:ea typeface="+mn-ea"/>
              <a:cs typeface="+mn-cs"/>
            </a:rPr>
            <a:t>Scheme IRR</a:t>
          </a:r>
        </a:p>
      </dgm:t>
    </dgm:pt>
    <dgm:pt modelId="{F6A8BF05-40DB-4EBC-A812-CF81964A6D3B}" type="parTrans" cxnId="{8F8DE8C2-B78B-4911-A0AB-E50687EA0591}">
      <dgm:prSet/>
      <dgm:spPr/>
      <dgm:t>
        <a:bodyPr/>
        <a:lstStyle/>
        <a:p>
          <a:endParaRPr lang="en-GB"/>
        </a:p>
      </dgm:t>
    </dgm:pt>
    <dgm:pt modelId="{AE18F041-E5F0-4733-8414-C7142D3D7039}" type="sibTrans" cxnId="{8F8DE8C2-B78B-4911-A0AB-E50687EA0591}">
      <dgm:prSet/>
      <dgm:spPr/>
      <dgm:t>
        <a:bodyPr/>
        <a:lstStyle/>
        <a:p>
          <a:endParaRPr lang="en-GB"/>
        </a:p>
      </dgm:t>
    </dgm:pt>
    <dgm:pt modelId="{3FCFA136-6818-4024-AF7E-34F71072D635}">
      <dgm:prSet phldrT="[Text]"/>
      <dgm:spPr>
        <a:xfrm rot="5400000">
          <a:off x="2778080" y="-1025319"/>
          <a:ext cx="722210" cy="2954528"/>
        </a:xfrm>
      </dgm:spPr>
      <dgm:t>
        <a:bodyPr/>
        <a:lstStyle/>
        <a:p>
          <a:r>
            <a:rPr lang="en-GB">
              <a:latin typeface="Calibri"/>
              <a:ea typeface="+mn-ea"/>
              <a:cs typeface="+mn-cs"/>
            </a:rPr>
            <a:t>Scheme NPV</a:t>
          </a:r>
        </a:p>
      </dgm:t>
    </dgm:pt>
    <dgm:pt modelId="{53A31546-B8EE-469A-8B33-29741F632564}" type="parTrans" cxnId="{3FD5011D-93A9-438E-9BD7-3A5A88069CF4}">
      <dgm:prSet/>
      <dgm:spPr/>
      <dgm:t>
        <a:bodyPr/>
        <a:lstStyle/>
        <a:p>
          <a:endParaRPr lang="en-GB"/>
        </a:p>
      </dgm:t>
    </dgm:pt>
    <dgm:pt modelId="{76B6A6D7-F20D-419F-B8F2-9A6FFF562915}" type="sibTrans" cxnId="{3FD5011D-93A9-438E-9BD7-3A5A88069CF4}">
      <dgm:prSet/>
      <dgm:spPr/>
      <dgm:t>
        <a:bodyPr/>
        <a:lstStyle/>
        <a:p>
          <a:endParaRPr lang="en-GB"/>
        </a:p>
      </dgm:t>
    </dgm:pt>
    <dgm:pt modelId="{1B063356-D633-4CF4-839F-D00AFF1BCEE4}">
      <dgm:prSet phldrT="[Text]"/>
      <dgm:spPr>
        <a:xfrm>
          <a:off x="0" y="948464"/>
          <a:ext cx="1661922" cy="902763"/>
        </a:xfrm>
      </dgm:spPr>
      <dgm:t>
        <a:bodyPr/>
        <a:lstStyle/>
        <a:p>
          <a:r>
            <a:rPr lang="en-GB">
              <a:latin typeface="Calibri"/>
              <a:ea typeface="+mn-ea"/>
              <a:cs typeface="+mn-cs"/>
            </a:rPr>
            <a:t>Capital Income and Costs</a:t>
          </a:r>
        </a:p>
      </dgm:t>
    </dgm:pt>
    <dgm:pt modelId="{9C6A11EB-6E08-48D3-9808-B8B6ADD2904A}" type="parTrans" cxnId="{F158CDD9-7573-49F5-9B13-715659486990}">
      <dgm:prSet/>
      <dgm:spPr/>
      <dgm:t>
        <a:bodyPr/>
        <a:lstStyle/>
        <a:p>
          <a:endParaRPr lang="en-GB"/>
        </a:p>
      </dgm:t>
    </dgm:pt>
    <dgm:pt modelId="{5F6BA4D3-F7C0-4FE8-AF53-1D0F785A8058}" type="sibTrans" cxnId="{F158CDD9-7573-49F5-9B13-715659486990}">
      <dgm:prSet/>
      <dgm:spPr/>
      <dgm:t>
        <a:bodyPr/>
        <a:lstStyle/>
        <a:p>
          <a:endParaRPr lang="en-GB"/>
        </a:p>
      </dgm:t>
    </dgm:pt>
    <dgm:pt modelId="{3EFA4919-D079-4101-AE66-A486DD84DB38}">
      <dgm:prSet phldrT="[Text]"/>
      <dgm:spPr>
        <a:xfrm rot="5400000">
          <a:off x="2778080" y="-77417"/>
          <a:ext cx="722210" cy="2954528"/>
        </a:xfrm>
      </dgm:spPr>
      <dgm:t>
        <a:bodyPr/>
        <a:lstStyle/>
        <a:p>
          <a:r>
            <a:rPr lang="en-GB">
              <a:latin typeface="Calibri"/>
              <a:ea typeface="+mn-ea"/>
              <a:cs typeface="+mn-cs"/>
            </a:rPr>
            <a:t>Cost of land, build costs, oncosts, interest</a:t>
          </a:r>
        </a:p>
      </dgm:t>
    </dgm:pt>
    <dgm:pt modelId="{DEF7FAB0-86AE-4BBD-AF18-EDF46BC98A58}" type="parTrans" cxnId="{41C16667-40B7-488F-BDB4-A38449652928}">
      <dgm:prSet/>
      <dgm:spPr/>
      <dgm:t>
        <a:bodyPr/>
        <a:lstStyle/>
        <a:p>
          <a:endParaRPr lang="en-GB"/>
        </a:p>
      </dgm:t>
    </dgm:pt>
    <dgm:pt modelId="{22EE196D-75C5-4EF5-8E53-82278C34A30A}" type="sibTrans" cxnId="{41C16667-40B7-488F-BDB4-A38449652928}">
      <dgm:prSet/>
      <dgm:spPr/>
      <dgm:t>
        <a:bodyPr/>
        <a:lstStyle/>
        <a:p>
          <a:endParaRPr lang="en-GB"/>
        </a:p>
      </dgm:t>
    </dgm:pt>
    <dgm:pt modelId="{75EEE52B-8009-4A76-985C-D820369EB290}">
      <dgm:prSet phldrT="[Text]"/>
      <dgm:spPr>
        <a:xfrm rot="5400000">
          <a:off x="2778080" y="-77417"/>
          <a:ext cx="722210" cy="2954528"/>
        </a:xfrm>
      </dgm:spPr>
      <dgm:t>
        <a:bodyPr/>
        <a:lstStyle/>
        <a:p>
          <a:r>
            <a:rPr lang="en-GB">
              <a:latin typeface="Calibri"/>
              <a:ea typeface="+mn-ea"/>
              <a:cs typeface="+mn-cs"/>
            </a:rPr>
            <a:t>Income from sales, grants, etc.</a:t>
          </a:r>
        </a:p>
      </dgm:t>
    </dgm:pt>
    <dgm:pt modelId="{C8D83D96-7AC8-4E3F-A5D7-2E571E3A200F}" type="parTrans" cxnId="{C13E86BA-408A-401F-90D9-CA89118AD854}">
      <dgm:prSet/>
      <dgm:spPr/>
      <dgm:t>
        <a:bodyPr/>
        <a:lstStyle/>
        <a:p>
          <a:endParaRPr lang="en-GB"/>
        </a:p>
      </dgm:t>
    </dgm:pt>
    <dgm:pt modelId="{B73C7ADE-093B-4A0B-B86F-51D833E9661B}" type="sibTrans" cxnId="{C13E86BA-408A-401F-90D9-CA89118AD854}">
      <dgm:prSet/>
      <dgm:spPr/>
      <dgm:t>
        <a:bodyPr/>
        <a:lstStyle/>
        <a:p>
          <a:endParaRPr lang="en-GB"/>
        </a:p>
      </dgm:t>
    </dgm:pt>
    <dgm:pt modelId="{5BD0734C-0653-4402-9B17-434060CDAE17}">
      <dgm:prSet phldrT="[Text]"/>
      <dgm:spPr>
        <a:xfrm>
          <a:off x="0" y="1896366"/>
          <a:ext cx="1661922" cy="902763"/>
        </a:xfrm>
      </dgm:spPr>
      <dgm:t>
        <a:bodyPr/>
        <a:lstStyle/>
        <a:p>
          <a:r>
            <a:rPr lang="en-GB">
              <a:latin typeface="Calibri"/>
              <a:ea typeface="+mn-ea"/>
              <a:cs typeface="+mn-cs"/>
            </a:rPr>
            <a:t>Scheme Repayment</a:t>
          </a:r>
        </a:p>
      </dgm:t>
    </dgm:pt>
    <dgm:pt modelId="{E6F6931E-EB58-415A-B5C7-B202FBFC150D}" type="parTrans" cxnId="{09050E54-855E-4B72-A2EF-102AFF775A08}">
      <dgm:prSet/>
      <dgm:spPr/>
      <dgm:t>
        <a:bodyPr/>
        <a:lstStyle/>
        <a:p>
          <a:endParaRPr lang="en-GB"/>
        </a:p>
      </dgm:t>
    </dgm:pt>
    <dgm:pt modelId="{BACC572F-1B17-427E-9832-840C7C1D8490}" type="sibTrans" cxnId="{09050E54-855E-4B72-A2EF-102AFF775A08}">
      <dgm:prSet/>
      <dgm:spPr/>
      <dgm:t>
        <a:bodyPr/>
        <a:lstStyle/>
        <a:p>
          <a:endParaRPr lang="en-GB"/>
        </a:p>
      </dgm:t>
    </dgm:pt>
    <dgm:pt modelId="{5BC2DB2C-3DA5-4F0B-AB34-4C2F4860AFF4}">
      <dgm:prSet phldrT="[Text]"/>
      <dgm:spPr>
        <a:xfrm rot="5400000">
          <a:off x="2778080" y="4662091"/>
          <a:ext cx="722210" cy="2954528"/>
        </a:xfrm>
      </dgm:spPr>
      <dgm:t>
        <a:bodyPr/>
        <a:lstStyle/>
        <a:p>
          <a:r>
            <a:rPr lang="en-GB">
              <a:latin typeface="Calibri"/>
              <a:ea typeface="+mn-ea"/>
              <a:cs typeface="+mn-cs"/>
            </a:rPr>
            <a:t>Total NPV of each different tenure type</a:t>
          </a:r>
        </a:p>
      </dgm:t>
    </dgm:pt>
    <dgm:pt modelId="{3C0ED184-CA31-4655-AA38-E4713EBE5B64}" type="parTrans" cxnId="{DE8DFB67-FF5B-4DDA-A267-6C2C245B2759}">
      <dgm:prSet/>
      <dgm:spPr/>
      <dgm:t>
        <a:bodyPr/>
        <a:lstStyle/>
        <a:p>
          <a:endParaRPr lang="en-GB"/>
        </a:p>
      </dgm:t>
    </dgm:pt>
    <dgm:pt modelId="{603743BA-5921-44B8-B8F4-A1E96D80772C}" type="sibTrans" cxnId="{DE8DFB67-FF5B-4DDA-A267-6C2C245B2759}">
      <dgm:prSet/>
      <dgm:spPr/>
      <dgm:t>
        <a:bodyPr/>
        <a:lstStyle/>
        <a:p>
          <a:endParaRPr lang="en-GB"/>
        </a:p>
      </dgm:t>
    </dgm:pt>
    <dgm:pt modelId="{EF5EF0BA-2446-4FCE-8D14-61C65CD25100}">
      <dgm:prSet phldrT="[Text]"/>
      <dgm:spPr>
        <a:xfrm rot="5400000">
          <a:off x="2778080" y="-1025319"/>
          <a:ext cx="722210" cy="2954528"/>
        </a:xfrm>
      </dgm:spPr>
      <dgm:t>
        <a:bodyPr/>
        <a:lstStyle/>
        <a:p>
          <a:r>
            <a:rPr lang="en-GB">
              <a:latin typeface="Calibri"/>
              <a:ea typeface="+mn-ea"/>
              <a:cs typeface="+mn-cs"/>
            </a:rPr>
            <a:t>Scheme PYB</a:t>
          </a:r>
        </a:p>
      </dgm:t>
    </dgm:pt>
    <dgm:pt modelId="{3C536B5C-C991-4304-BF58-217FFDE707C7}" type="parTrans" cxnId="{38D25B6D-E399-496A-AC1C-E897E5241740}">
      <dgm:prSet/>
      <dgm:spPr/>
      <dgm:t>
        <a:bodyPr/>
        <a:lstStyle/>
        <a:p>
          <a:endParaRPr lang="en-GB"/>
        </a:p>
      </dgm:t>
    </dgm:pt>
    <dgm:pt modelId="{577845CC-FD8F-41EF-82B8-CAE27EC25220}" type="sibTrans" cxnId="{38D25B6D-E399-496A-AC1C-E897E5241740}">
      <dgm:prSet/>
      <dgm:spPr/>
      <dgm:t>
        <a:bodyPr/>
        <a:lstStyle/>
        <a:p>
          <a:endParaRPr lang="en-GB"/>
        </a:p>
      </dgm:t>
    </dgm:pt>
    <dgm:pt modelId="{5B6D3E42-EFE0-4F94-A233-3178A82F5F02}">
      <dgm:prSet phldrT="[Text]"/>
      <dgm:spPr>
        <a:xfrm>
          <a:off x="0" y="4740071"/>
          <a:ext cx="1661922" cy="902763"/>
        </a:xfrm>
      </dgm:spPr>
      <dgm:t>
        <a:bodyPr/>
        <a:lstStyle/>
        <a:p>
          <a:r>
            <a:rPr lang="en-GB">
              <a:latin typeface="Calibri"/>
              <a:ea typeface="+mn-ea"/>
              <a:cs typeface="+mn-cs"/>
            </a:rPr>
            <a:t>Unit Mix</a:t>
          </a:r>
        </a:p>
      </dgm:t>
    </dgm:pt>
    <dgm:pt modelId="{C9447702-83C7-44EA-921A-36EE6B4B2491}" type="parTrans" cxnId="{34C8E1A6-4819-489F-9745-D347CB426B09}">
      <dgm:prSet/>
      <dgm:spPr/>
      <dgm:t>
        <a:bodyPr/>
        <a:lstStyle/>
        <a:p>
          <a:endParaRPr lang="en-GB"/>
        </a:p>
      </dgm:t>
    </dgm:pt>
    <dgm:pt modelId="{8EB22885-82CE-4E80-AB7F-36C4D1110DB5}" type="sibTrans" cxnId="{34C8E1A6-4819-489F-9745-D347CB426B09}">
      <dgm:prSet/>
      <dgm:spPr/>
      <dgm:t>
        <a:bodyPr/>
        <a:lstStyle/>
        <a:p>
          <a:endParaRPr lang="en-GB"/>
        </a:p>
      </dgm:t>
    </dgm:pt>
    <dgm:pt modelId="{B6F76811-4F71-447D-B52F-03A10F7CEF37}">
      <dgm:prSet phldrT="[Text]"/>
      <dgm:spPr>
        <a:xfrm>
          <a:off x="0" y="3792169"/>
          <a:ext cx="1661922" cy="902763"/>
        </a:xfrm>
      </dgm:spPr>
      <dgm:t>
        <a:bodyPr/>
        <a:lstStyle/>
        <a:p>
          <a:r>
            <a:rPr lang="en-GB">
              <a:latin typeface="Calibri"/>
              <a:ea typeface="+mn-ea"/>
              <a:cs typeface="+mn-cs"/>
            </a:rPr>
            <a:t>Key Dates</a:t>
          </a:r>
        </a:p>
      </dgm:t>
    </dgm:pt>
    <dgm:pt modelId="{CB479966-C916-41A9-A976-FCDAF92021DB}" type="parTrans" cxnId="{E4E949BA-952A-4ADE-88AA-E3210C40C987}">
      <dgm:prSet/>
      <dgm:spPr/>
      <dgm:t>
        <a:bodyPr/>
        <a:lstStyle/>
        <a:p>
          <a:endParaRPr lang="en-GB"/>
        </a:p>
      </dgm:t>
    </dgm:pt>
    <dgm:pt modelId="{76F18A08-4F01-4999-AC06-175D6D984ACF}" type="sibTrans" cxnId="{E4E949BA-952A-4ADE-88AA-E3210C40C987}">
      <dgm:prSet/>
      <dgm:spPr/>
      <dgm:t>
        <a:bodyPr/>
        <a:lstStyle/>
        <a:p>
          <a:endParaRPr lang="en-GB"/>
        </a:p>
      </dgm:t>
    </dgm:pt>
    <dgm:pt modelId="{2E5E015B-D7B6-44BB-B7E5-B9632A3E97EA}">
      <dgm:prSet phldrT="[Text]"/>
      <dgm:spPr>
        <a:xfrm rot="5400000">
          <a:off x="2778080" y="2766287"/>
          <a:ext cx="722210" cy="2954528"/>
        </a:xfrm>
      </dgm:spPr>
      <dgm:t>
        <a:bodyPr/>
        <a:lstStyle/>
        <a:p>
          <a:r>
            <a:rPr lang="en-GB">
              <a:latin typeface="Calibri"/>
              <a:ea typeface="+mn-ea"/>
              <a:cs typeface="+mn-cs"/>
            </a:rPr>
            <a:t>Estimated timeline for beginning of Cashflow, Start on site, Last Handover etc.</a:t>
          </a:r>
        </a:p>
      </dgm:t>
    </dgm:pt>
    <dgm:pt modelId="{65DB803D-C555-4628-A107-9F4565EB94ED}" type="parTrans" cxnId="{FC01431B-260B-49F9-B5BD-E3934C84F872}">
      <dgm:prSet/>
      <dgm:spPr/>
      <dgm:t>
        <a:bodyPr/>
        <a:lstStyle/>
        <a:p>
          <a:endParaRPr lang="en-GB"/>
        </a:p>
      </dgm:t>
    </dgm:pt>
    <dgm:pt modelId="{FBBE2423-55F7-407C-8F8C-59D528562B0A}" type="sibTrans" cxnId="{FC01431B-260B-49F9-B5BD-E3934C84F872}">
      <dgm:prSet/>
      <dgm:spPr/>
      <dgm:t>
        <a:bodyPr/>
        <a:lstStyle/>
        <a:p>
          <a:endParaRPr lang="en-GB"/>
        </a:p>
      </dgm:t>
    </dgm:pt>
    <dgm:pt modelId="{DD5D06E0-B431-4EB2-B976-2C8362C8B91F}">
      <dgm:prSet phldrT="[Text]"/>
      <dgm:spPr>
        <a:xfrm>
          <a:off x="0" y="2844268"/>
          <a:ext cx="1661922" cy="902763"/>
        </a:xfrm>
      </dgm:spPr>
      <dgm:t>
        <a:bodyPr/>
        <a:lstStyle/>
        <a:p>
          <a:r>
            <a:rPr lang="en-GB">
              <a:latin typeface="Calibri"/>
              <a:ea typeface="+mn-ea"/>
              <a:cs typeface="+mn-cs"/>
            </a:rPr>
            <a:t>Scheme Details</a:t>
          </a:r>
        </a:p>
      </dgm:t>
    </dgm:pt>
    <dgm:pt modelId="{79C9D73F-80A5-4E49-85DF-091ABEDE4F8B}" type="parTrans" cxnId="{3FB221DD-A4A9-449E-A617-CFA8045DD516}">
      <dgm:prSet/>
      <dgm:spPr/>
      <dgm:t>
        <a:bodyPr/>
        <a:lstStyle/>
        <a:p>
          <a:endParaRPr lang="en-GB"/>
        </a:p>
      </dgm:t>
    </dgm:pt>
    <dgm:pt modelId="{737E2945-AE87-4F6F-94C5-BB7B038102B6}" type="sibTrans" cxnId="{3FB221DD-A4A9-449E-A617-CFA8045DD516}">
      <dgm:prSet/>
      <dgm:spPr/>
      <dgm:t>
        <a:bodyPr/>
        <a:lstStyle/>
        <a:p>
          <a:endParaRPr lang="en-GB"/>
        </a:p>
      </dgm:t>
    </dgm:pt>
    <dgm:pt modelId="{49B27D1B-3DA7-4953-80DA-AD79B0A13DCA}">
      <dgm:prSet phldrT="[Text]"/>
      <dgm:spPr>
        <a:xfrm rot="5400000">
          <a:off x="2778080" y="870484"/>
          <a:ext cx="722210" cy="2954528"/>
        </a:xfrm>
      </dgm:spPr>
      <dgm:t>
        <a:bodyPr/>
        <a:lstStyle/>
        <a:p>
          <a:r>
            <a:rPr lang="en-GB">
              <a:latin typeface="Calibri"/>
              <a:ea typeface="+mn-ea"/>
              <a:cs typeface="+mn-cs"/>
            </a:rPr>
            <a:t>A timeline profile of scheme borrowing and subsequent debt redemption strategy</a:t>
          </a:r>
        </a:p>
      </dgm:t>
    </dgm:pt>
    <dgm:pt modelId="{AE1A09C6-5137-4769-8108-585F5050AB0F}" type="parTrans" cxnId="{EBB62CAB-BCB9-49DE-B379-D26BBD2A1279}">
      <dgm:prSet/>
      <dgm:spPr/>
      <dgm:t>
        <a:bodyPr/>
        <a:lstStyle/>
        <a:p>
          <a:endParaRPr lang="en-GB"/>
        </a:p>
      </dgm:t>
    </dgm:pt>
    <dgm:pt modelId="{05EA7C23-863E-4CC3-BAED-3B6E181710B7}" type="sibTrans" cxnId="{EBB62CAB-BCB9-49DE-B379-D26BBD2A1279}">
      <dgm:prSet/>
      <dgm:spPr/>
      <dgm:t>
        <a:bodyPr/>
        <a:lstStyle/>
        <a:p>
          <a:endParaRPr lang="en-GB"/>
        </a:p>
      </dgm:t>
    </dgm:pt>
    <dgm:pt modelId="{B0810572-3B08-4B06-BA55-850930892C97}">
      <dgm:prSet phldrT="[Text]"/>
      <dgm:spPr>
        <a:xfrm rot="5400000">
          <a:off x="2778080" y="1818385"/>
          <a:ext cx="722210" cy="2954528"/>
        </a:xfrm>
      </dgm:spPr>
      <dgm:t>
        <a:bodyPr/>
        <a:lstStyle/>
        <a:p>
          <a:r>
            <a:rPr lang="en-GB">
              <a:latin typeface="Calibri"/>
              <a:ea typeface="+mn-ea"/>
              <a:cs typeface="+mn-cs"/>
            </a:rPr>
            <a:t>Headline information relating to the scheme e.g. number of units etc.</a:t>
          </a:r>
        </a:p>
      </dgm:t>
    </dgm:pt>
    <dgm:pt modelId="{12276652-B00C-455E-AC07-FAEAAA55209A}" type="parTrans" cxnId="{0CF2900F-2C14-4BC1-A0B7-6E9DAA97E1A9}">
      <dgm:prSet/>
      <dgm:spPr/>
      <dgm:t>
        <a:bodyPr/>
        <a:lstStyle/>
        <a:p>
          <a:endParaRPr lang="en-GB"/>
        </a:p>
      </dgm:t>
    </dgm:pt>
    <dgm:pt modelId="{E9526802-0C8C-435E-9042-3F38FCB9654C}" type="sibTrans" cxnId="{0CF2900F-2C14-4BC1-A0B7-6E9DAA97E1A9}">
      <dgm:prSet/>
      <dgm:spPr/>
      <dgm:t>
        <a:bodyPr/>
        <a:lstStyle/>
        <a:p>
          <a:endParaRPr lang="en-GB"/>
        </a:p>
      </dgm:t>
    </dgm:pt>
    <dgm:pt modelId="{8D955882-1460-4332-A809-D8A196AD652A}">
      <dgm:prSet phldrT="[Text]"/>
      <dgm:spPr>
        <a:xfrm>
          <a:off x="0" y="5687973"/>
          <a:ext cx="1661922" cy="902763"/>
        </a:xfrm>
      </dgm:spPr>
      <dgm:t>
        <a:bodyPr/>
        <a:lstStyle/>
        <a:p>
          <a:r>
            <a:rPr lang="en-GB">
              <a:latin typeface="Calibri"/>
              <a:ea typeface="+mn-ea"/>
              <a:cs typeface="+mn-cs"/>
            </a:rPr>
            <a:t>Tenure Types</a:t>
          </a:r>
        </a:p>
      </dgm:t>
    </dgm:pt>
    <dgm:pt modelId="{BF5C518F-9CAE-45CC-A226-134A22A82A0C}" type="parTrans" cxnId="{59C8A462-71D8-4484-81D7-BC23CA213717}">
      <dgm:prSet/>
      <dgm:spPr/>
      <dgm:t>
        <a:bodyPr/>
        <a:lstStyle/>
        <a:p>
          <a:endParaRPr lang="en-GB"/>
        </a:p>
      </dgm:t>
    </dgm:pt>
    <dgm:pt modelId="{7EB24CEB-E826-4182-A5D5-D304805C6F59}" type="sibTrans" cxnId="{59C8A462-71D8-4484-81D7-BC23CA213717}">
      <dgm:prSet/>
      <dgm:spPr/>
      <dgm:t>
        <a:bodyPr/>
        <a:lstStyle/>
        <a:p>
          <a:endParaRPr lang="en-GB"/>
        </a:p>
      </dgm:t>
    </dgm:pt>
    <dgm:pt modelId="{9BDC49BB-6F93-4132-8042-C7D000796802}">
      <dgm:prSet phldrT="[Text]"/>
      <dgm:spPr>
        <a:xfrm rot="5400000">
          <a:off x="2778080" y="3714189"/>
          <a:ext cx="722210" cy="2954528"/>
        </a:xfrm>
      </dgm:spPr>
      <dgm:t>
        <a:bodyPr/>
        <a:lstStyle/>
        <a:p>
          <a:r>
            <a:rPr lang="en-GB">
              <a:latin typeface="Calibri"/>
              <a:ea typeface="+mn-ea"/>
              <a:cs typeface="+mn-cs"/>
            </a:rPr>
            <a:t>Type and number of different unit tenures provided by scheme</a:t>
          </a:r>
        </a:p>
      </dgm:t>
    </dgm:pt>
    <dgm:pt modelId="{9BDA63C5-DD65-49BA-8D05-65185F7FE228}" type="parTrans" cxnId="{180980D5-2794-4125-A8D6-6D38CC953D90}">
      <dgm:prSet/>
      <dgm:spPr/>
      <dgm:t>
        <a:bodyPr/>
        <a:lstStyle/>
        <a:p>
          <a:endParaRPr lang="en-GB"/>
        </a:p>
      </dgm:t>
    </dgm:pt>
    <dgm:pt modelId="{28183402-D922-47A8-A97F-41DAA8271969}" type="sibTrans" cxnId="{180980D5-2794-4125-A8D6-6D38CC953D90}">
      <dgm:prSet/>
      <dgm:spPr/>
      <dgm:t>
        <a:bodyPr/>
        <a:lstStyle/>
        <a:p>
          <a:endParaRPr lang="en-GB"/>
        </a:p>
      </dgm:t>
    </dgm:pt>
    <dgm:pt modelId="{C6C3B0DD-10B8-4436-997E-5C57787A2D46}">
      <dgm:prSet phldrT="[Text]"/>
      <dgm:spPr>
        <a:xfrm rot="5400000">
          <a:off x="2778080" y="4662091"/>
          <a:ext cx="722210" cy="2954528"/>
        </a:xfrm>
      </dgm:spPr>
      <dgm:t>
        <a:bodyPr/>
        <a:lstStyle/>
        <a:p>
          <a:r>
            <a:rPr lang="en-GB">
              <a:latin typeface="Calibri"/>
              <a:ea typeface="+mn-ea"/>
              <a:cs typeface="+mn-cs"/>
            </a:rPr>
            <a:t>Total IRR of each different tenure type </a:t>
          </a:r>
        </a:p>
      </dgm:t>
    </dgm:pt>
    <dgm:pt modelId="{614CA3F9-015D-4844-A330-F22B267700F1}" type="parTrans" cxnId="{3FAC9378-AA8A-44A8-B2B5-50A314B1743B}">
      <dgm:prSet/>
      <dgm:spPr/>
      <dgm:t>
        <a:bodyPr/>
        <a:lstStyle/>
        <a:p>
          <a:endParaRPr lang="en-GB"/>
        </a:p>
      </dgm:t>
    </dgm:pt>
    <dgm:pt modelId="{D16BB327-E711-4DE7-A871-3769AAD261F0}" type="sibTrans" cxnId="{3FAC9378-AA8A-44A8-B2B5-50A314B1743B}">
      <dgm:prSet/>
      <dgm:spPr/>
      <dgm:t>
        <a:bodyPr/>
        <a:lstStyle/>
        <a:p>
          <a:endParaRPr lang="en-GB"/>
        </a:p>
      </dgm:t>
    </dgm:pt>
    <dgm:pt modelId="{2E8DC62E-593B-459F-AB08-A7AEA8E85447}" type="pres">
      <dgm:prSet presAssocID="{8118D87A-4F02-4253-9A5F-3C39F0A7CBA2}" presName="Name0" presStyleCnt="0">
        <dgm:presLayoutVars>
          <dgm:dir/>
          <dgm:animLvl val="lvl"/>
          <dgm:resizeHandles val="exact"/>
        </dgm:presLayoutVars>
      </dgm:prSet>
      <dgm:spPr/>
      <dgm:t>
        <a:bodyPr/>
        <a:lstStyle/>
        <a:p>
          <a:endParaRPr lang="en-GB"/>
        </a:p>
      </dgm:t>
    </dgm:pt>
    <dgm:pt modelId="{AB04E0E1-8D00-4664-88CD-12651D0C33F5}" type="pres">
      <dgm:prSet presAssocID="{84353C17-8592-419A-AB12-F6DCA380E432}" presName="linNode" presStyleCnt="0"/>
      <dgm:spPr/>
      <dgm:t>
        <a:bodyPr/>
        <a:lstStyle/>
        <a:p>
          <a:endParaRPr lang="en-GB"/>
        </a:p>
      </dgm:t>
    </dgm:pt>
    <dgm:pt modelId="{A50CA49C-0CCB-4742-A3AB-2718EB12550C}" type="pres">
      <dgm:prSet presAssocID="{84353C17-8592-419A-AB12-F6DCA380E432}" presName="parentText" presStyleLbl="node1" presStyleIdx="0" presStyleCnt="7">
        <dgm:presLayoutVars>
          <dgm:chMax val="1"/>
          <dgm:bulletEnabled val="1"/>
        </dgm:presLayoutVars>
      </dgm:prSet>
      <dgm:spPr>
        <a:prstGeom prst="roundRect">
          <a:avLst/>
        </a:prstGeom>
      </dgm:spPr>
      <dgm:t>
        <a:bodyPr/>
        <a:lstStyle/>
        <a:p>
          <a:endParaRPr lang="en-GB"/>
        </a:p>
      </dgm:t>
    </dgm:pt>
    <dgm:pt modelId="{E43FB935-8028-43C7-82F6-ED23B220EE53}" type="pres">
      <dgm:prSet presAssocID="{84353C17-8592-419A-AB12-F6DCA380E432}" presName="descendantText" presStyleLbl="alignAccFollowNode1" presStyleIdx="0" presStyleCnt="7">
        <dgm:presLayoutVars>
          <dgm:bulletEnabled val="1"/>
        </dgm:presLayoutVars>
      </dgm:prSet>
      <dgm:spPr>
        <a:prstGeom prst="round2SameRect">
          <a:avLst/>
        </a:prstGeom>
      </dgm:spPr>
      <dgm:t>
        <a:bodyPr/>
        <a:lstStyle/>
        <a:p>
          <a:endParaRPr lang="en-GB"/>
        </a:p>
      </dgm:t>
    </dgm:pt>
    <dgm:pt modelId="{1DD29710-A414-4D47-BA27-3AAD0FFFCEB3}" type="pres">
      <dgm:prSet presAssocID="{116089C5-3BF6-44CC-A3E1-45C1D1A70881}" presName="sp" presStyleCnt="0"/>
      <dgm:spPr/>
      <dgm:t>
        <a:bodyPr/>
        <a:lstStyle/>
        <a:p>
          <a:endParaRPr lang="en-GB"/>
        </a:p>
      </dgm:t>
    </dgm:pt>
    <dgm:pt modelId="{EE67AD9A-8E70-4178-9E47-9E673405714F}" type="pres">
      <dgm:prSet presAssocID="{1B063356-D633-4CF4-839F-D00AFF1BCEE4}" presName="linNode" presStyleCnt="0"/>
      <dgm:spPr/>
      <dgm:t>
        <a:bodyPr/>
        <a:lstStyle/>
        <a:p>
          <a:endParaRPr lang="en-GB"/>
        </a:p>
      </dgm:t>
    </dgm:pt>
    <dgm:pt modelId="{B2CA5DA5-078B-4C12-8F26-BBCBB9776D48}" type="pres">
      <dgm:prSet presAssocID="{1B063356-D633-4CF4-839F-D00AFF1BCEE4}" presName="parentText" presStyleLbl="node1" presStyleIdx="1" presStyleCnt="7">
        <dgm:presLayoutVars>
          <dgm:chMax val="1"/>
          <dgm:bulletEnabled val="1"/>
        </dgm:presLayoutVars>
      </dgm:prSet>
      <dgm:spPr>
        <a:prstGeom prst="roundRect">
          <a:avLst/>
        </a:prstGeom>
      </dgm:spPr>
      <dgm:t>
        <a:bodyPr/>
        <a:lstStyle/>
        <a:p>
          <a:endParaRPr lang="en-GB"/>
        </a:p>
      </dgm:t>
    </dgm:pt>
    <dgm:pt modelId="{71FC3A77-B605-4D85-BF54-9A1A238C71EE}" type="pres">
      <dgm:prSet presAssocID="{1B063356-D633-4CF4-839F-D00AFF1BCEE4}" presName="descendantText" presStyleLbl="alignAccFollowNode1" presStyleIdx="1" presStyleCnt="7">
        <dgm:presLayoutVars>
          <dgm:bulletEnabled val="1"/>
        </dgm:presLayoutVars>
      </dgm:prSet>
      <dgm:spPr>
        <a:prstGeom prst="round2SameRect">
          <a:avLst/>
        </a:prstGeom>
      </dgm:spPr>
      <dgm:t>
        <a:bodyPr/>
        <a:lstStyle/>
        <a:p>
          <a:endParaRPr lang="en-GB"/>
        </a:p>
      </dgm:t>
    </dgm:pt>
    <dgm:pt modelId="{02B0C0C8-2AAC-4511-96AE-1D7A4DF2ABB1}" type="pres">
      <dgm:prSet presAssocID="{5F6BA4D3-F7C0-4FE8-AF53-1D0F785A8058}" presName="sp" presStyleCnt="0"/>
      <dgm:spPr/>
      <dgm:t>
        <a:bodyPr/>
        <a:lstStyle/>
        <a:p>
          <a:endParaRPr lang="en-GB"/>
        </a:p>
      </dgm:t>
    </dgm:pt>
    <dgm:pt modelId="{2464E454-CADA-47EB-B92A-4146C94528FA}" type="pres">
      <dgm:prSet presAssocID="{5BD0734C-0653-4402-9B17-434060CDAE17}" presName="linNode" presStyleCnt="0"/>
      <dgm:spPr/>
      <dgm:t>
        <a:bodyPr/>
        <a:lstStyle/>
        <a:p>
          <a:endParaRPr lang="en-GB"/>
        </a:p>
      </dgm:t>
    </dgm:pt>
    <dgm:pt modelId="{CD51FBF5-663B-4C50-A974-003633B88A2D}" type="pres">
      <dgm:prSet presAssocID="{5BD0734C-0653-4402-9B17-434060CDAE17}" presName="parentText" presStyleLbl="node1" presStyleIdx="2" presStyleCnt="7">
        <dgm:presLayoutVars>
          <dgm:chMax val="1"/>
          <dgm:bulletEnabled val="1"/>
        </dgm:presLayoutVars>
      </dgm:prSet>
      <dgm:spPr>
        <a:prstGeom prst="roundRect">
          <a:avLst/>
        </a:prstGeom>
      </dgm:spPr>
      <dgm:t>
        <a:bodyPr/>
        <a:lstStyle/>
        <a:p>
          <a:endParaRPr lang="en-GB"/>
        </a:p>
      </dgm:t>
    </dgm:pt>
    <dgm:pt modelId="{AAF77B88-B94E-41BE-84E6-5BB6441DD602}" type="pres">
      <dgm:prSet presAssocID="{5BD0734C-0653-4402-9B17-434060CDAE17}" presName="descendantText" presStyleLbl="alignAccFollowNode1" presStyleIdx="2" presStyleCnt="7">
        <dgm:presLayoutVars>
          <dgm:bulletEnabled val="1"/>
        </dgm:presLayoutVars>
      </dgm:prSet>
      <dgm:spPr>
        <a:prstGeom prst="round2SameRect">
          <a:avLst/>
        </a:prstGeom>
      </dgm:spPr>
      <dgm:t>
        <a:bodyPr/>
        <a:lstStyle/>
        <a:p>
          <a:endParaRPr lang="en-GB"/>
        </a:p>
      </dgm:t>
    </dgm:pt>
    <dgm:pt modelId="{03372AAC-1C3C-4000-9814-E4E75C1F6E0D}" type="pres">
      <dgm:prSet presAssocID="{BACC572F-1B17-427E-9832-840C7C1D8490}" presName="sp" presStyleCnt="0"/>
      <dgm:spPr/>
      <dgm:t>
        <a:bodyPr/>
        <a:lstStyle/>
        <a:p>
          <a:endParaRPr lang="en-GB"/>
        </a:p>
      </dgm:t>
    </dgm:pt>
    <dgm:pt modelId="{789B96E8-E248-4B08-9C67-44F56B19FE89}" type="pres">
      <dgm:prSet presAssocID="{DD5D06E0-B431-4EB2-B976-2C8362C8B91F}" presName="linNode" presStyleCnt="0"/>
      <dgm:spPr/>
      <dgm:t>
        <a:bodyPr/>
        <a:lstStyle/>
        <a:p>
          <a:endParaRPr lang="en-GB"/>
        </a:p>
      </dgm:t>
    </dgm:pt>
    <dgm:pt modelId="{823725ED-C274-4CE7-A906-437920334489}" type="pres">
      <dgm:prSet presAssocID="{DD5D06E0-B431-4EB2-B976-2C8362C8B91F}" presName="parentText" presStyleLbl="node1" presStyleIdx="3" presStyleCnt="7">
        <dgm:presLayoutVars>
          <dgm:chMax val="1"/>
          <dgm:bulletEnabled val="1"/>
        </dgm:presLayoutVars>
      </dgm:prSet>
      <dgm:spPr>
        <a:prstGeom prst="roundRect">
          <a:avLst/>
        </a:prstGeom>
      </dgm:spPr>
      <dgm:t>
        <a:bodyPr/>
        <a:lstStyle/>
        <a:p>
          <a:endParaRPr lang="en-GB"/>
        </a:p>
      </dgm:t>
    </dgm:pt>
    <dgm:pt modelId="{662769AF-0DB1-44EB-B5B2-42977151E49C}" type="pres">
      <dgm:prSet presAssocID="{DD5D06E0-B431-4EB2-B976-2C8362C8B91F}" presName="descendantText" presStyleLbl="alignAccFollowNode1" presStyleIdx="3" presStyleCnt="7">
        <dgm:presLayoutVars>
          <dgm:bulletEnabled val="1"/>
        </dgm:presLayoutVars>
      </dgm:prSet>
      <dgm:spPr>
        <a:prstGeom prst="round2SameRect">
          <a:avLst/>
        </a:prstGeom>
      </dgm:spPr>
      <dgm:t>
        <a:bodyPr/>
        <a:lstStyle/>
        <a:p>
          <a:endParaRPr lang="en-GB"/>
        </a:p>
      </dgm:t>
    </dgm:pt>
    <dgm:pt modelId="{4F900B65-AC58-4213-B029-278A9BEFAA5D}" type="pres">
      <dgm:prSet presAssocID="{737E2945-AE87-4F6F-94C5-BB7B038102B6}" presName="sp" presStyleCnt="0"/>
      <dgm:spPr/>
      <dgm:t>
        <a:bodyPr/>
        <a:lstStyle/>
        <a:p>
          <a:endParaRPr lang="en-GB"/>
        </a:p>
      </dgm:t>
    </dgm:pt>
    <dgm:pt modelId="{FDA4C244-6B48-4C67-888C-F511799A95DC}" type="pres">
      <dgm:prSet presAssocID="{B6F76811-4F71-447D-B52F-03A10F7CEF37}" presName="linNode" presStyleCnt="0"/>
      <dgm:spPr/>
      <dgm:t>
        <a:bodyPr/>
        <a:lstStyle/>
        <a:p>
          <a:endParaRPr lang="en-GB"/>
        </a:p>
      </dgm:t>
    </dgm:pt>
    <dgm:pt modelId="{27336A29-E5E4-416E-9649-044022C72310}" type="pres">
      <dgm:prSet presAssocID="{B6F76811-4F71-447D-B52F-03A10F7CEF37}" presName="parentText" presStyleLbl="node1" presStyleIdx="4" presStyleCnt="7">
        <dgm:presLayoutVars>
          <dgm:chMax val="1"/>
          <dgm:bulletEnabled val="1"/>
        </dgm:presLayoutVars>
      </dgm:prSet>
      <dgm:spPr>
        <a:prstGeom prst="roundRect">
          <a:avLst/>
        </a:prstGeom>
      </dgm:spPr>
      <dgm:t>
        <a:bodyPr/>
        <a:lstStyle/>
        <a:p>
          <a:endParaRPr lang="en-GB"/>
        </a:p>
      </dgm:t>
    </dgm:pt>
    <dgm:pt modelId="{61A86215-95F4-4E0B-B514-85E13900095A}" type="pres">
      <dgm:prSet presAssocID="{B6F76811-4F71-447D-B52F-03A10F7CEF37}" presName="descendantText" presStyleLbl="alignAccFollowNode1" presStyleIdx="4" presStyleCnt="7">
        <dgm:presLayoutVars>
          <dgm:bulletEnabled val="1"/>
        </dgm:presLayoutVars>
      </dgm:prSet>
      <dgm:spPr>
        <a:prstGeom prst="round2SameRect">
          <a:avLst/>
        </a:prstGeom>
      </dgm:spPr>
      <dgm:t>
        <a:bodyPr/>
        <a:lstStyle/>
        <a:p>
          <a:endParaRPr lang="en-GB"/>
        </a:p>
      </dgm:t>
    </dgm:pt>
    <dgm:pt modelId="{51AB0656-BFC5-4E98-B908-3CDA7ACEEE69}" type="pres">
      <dgm:prSet presAssocID="{76F18A08-4F01-4999-AC06-175D6D984ACF}" presName="sp" presStyleCnt="0"/>
      <dgm:spPr/>
      <dgm:t>
        <a:bodyPr/>
        <a:lstStyle/>
        <a:p>
          <a:endParaRPr lang="en-GB"/>
        </a:p>
      </dgm:t>
    </dgm:pt>
    <dgm:pt modelId="{8674647C-0AC3-4213-8AA6-C1F541CDE419}" type="pres">
      <dgm:prSet presAssocID="{5B6D3E42-EFE0-4F94-A233-3178A82F5F02}" presName="linNode" presStyleCnt="0"/>
      <dgm:spPr/>
      <dgm:t>
        <a:bodyPr/>
        <a:lstStyle/>
        <a:p>
          <a:endParaRPr lang="en-GB"/>
        </a:p>
      </dgm:t>
    </dgm:pt>
    <dgm:pt modelId="{1F14C39D-B1A2-4252-B82C-1E2BE29FD695}" type="pres">
      <dgm:prSet presAssocID="{5B6D3E42-EFE0-4F94-A233-3178A82F5F02}" presName="parentText" presStyleLbl="node1" presStyleIdx="5" presStyleCnt="7">
        <dgm:presLayoutVars>
          <dgm:chMax val="1"/>
          <dgm:bulletEnabled val="1"/>
        </dgm:presLayoutVars>
      </dgm:prSet>
      <dgm:spPr>
        <a:prstGeom prst="roundRect">
          <a:avLst/>
        </a:prstGeom>
      </dgm:spPr>
      <dgm:t>
        <a:bodyPr/>
        <a:lstStyle/>
        <a:p>
          <a:endParaRPr lang="en-GB"/>
        </a:p>
      </dgm:t>
    </dgm:pt>
    <dgm:pt modelId="{F179B12B-5B0D-4627-9F57-40F9E4135E96}" type="pres">
      <dgm:prSet presAssocID="{5B6D3E42-EFE0-4F94-A233-3178A82F5F02}" presName="descendantText" presStyleLbl="alignAccFollowNode1" presStyleIdx="5" presStyleCnt="7">
        <dgm:presLayoutVars>
          <dgm:bulletEnabled val="1"/>
        </dgm:presLayoutVars>
      </dgm:prSet>
      <dgm:spPr>
        <a:prstGeom prst="round2SameRect">
          <a:avLst/>
        </a:prstGeom>
      </dgm:spPr>
      <dgm:t>
        <a:bodyPr/>
        <a:lstStyle/>
        <a:p>
          <a:endParaRPr lang="en-GB"/>
        </a:p>
      </dgm:t>
    </dgm:pt>
    <dgm:pt modelId="{19F888E2-A18B-46F9-9E4F-B9EEC1B56DF8}" type="pres">
      <dgm:prSet presAssocID="{8EB22885-82CE-4E80-AB7F-36C4D1110DB5}" presName="sp" presStyleCnt="0"/>
      <dgm:spPr/>
      <dgm:t>
        <a:bodyPr/>
        <a:lstStyle/>
        <a:p>
          <a:endParaRPr lang="en-GB"/>
        </a:p>
      </dgm:t>
    </dgm:pt>
    <dgm:pt modelId="{073EFF30-1EE6-4E6E-852C-AE82A3581DAC}" type="pres">
      <dgm:prSet presAssocID="{8D955882-1460-4332-A809-D8A196AD652A}" presName="linNode" presStyleCnt="0"/>
      <dgm:spPr/>
      <dgm:t>
        <a:bodyPr/>
        <a:lstStyle/>
        <a:p>
          <a:endParaRPr lang="en-GB"/>
        </a:p>
      </dgm:t>
    </dgm:pt>
    <dgm:pt modelId="{EEA5CA59-5869-4F38-B801-656CCC9247EE}" type="pres">
      <dgm:prSet presAssocID="{8D955882-1460-4332-A809-D8A196AD652A}" presName="parentText" presStyleLbl="node1" presStyleIdx="6" presStyleCnt="7">
        <dgm:presLayoutVars>
          <dgm:chMax val="1"/>
          <dgm:bulletEnabled val="1"/>
        </dgm:presLayoutVars>
      </dgm:prSet>
      <dgm:spPr>
        <a:prstGeom prst="roundRect">
          <a:avLst/>
        </a:prstGeom>
      </dgm:spPr>
      <dgm:t>
        <a:bodyPr/>
        <a:lstStyle/>
        <a:p>
          <a:endParaRPr lang="en-GB"/>
        </a:p>
      </dgm:t>
    </dgm:pt>
    <dgm:pt modelId="{4F4A56AE-F660-4D17-9A0B-B5480E690788}" type="pres">
      <dgm:prSet presAssocID="{8D955882-1460-4332-A809-D8A196AD652A}" presName="descendantText" presStyleLbl="alignAccFollowNode1" presStyleIdx="6" presStyleCnt="7">
        <dgm:presLayoutVars>
          <dgm:bulletEnabled val="1"/>
        </dgm:presLayoutVars>
      </dgm:prSet>
      <dgm:spPr>
        <a:prstGeom prst="round2SameRect">
          <a:avLst/>
        </a:prstGeom>
      </dgm:spPr>
      <dgm:t>
        <a:bodyPr/>
        <a:lstStyle/>
        <a:p>
          <a:endParaRPr lang="en-GB"/>
        </a:p>
      </dgm:t>
    </dgm:pt>
  </dgm:ptLst>
  <dgm:cxnLst>
    <dgm:cxn modelId="{C9386CC8-669B-47DF-B4B5-024F95843AB9}" type="presOf" srcId="{5BC2DB2C-3DA5-4F0B-AB34-4C2F4860AFF4}" destId="{4F4A56AE-F660-4D17-9A0B-B5480E690788}" srcOrd="0" destOrd="0" presId="urn:microsoft.com/office/officeart/2005/8/layout/vList5"/>
    <dgm:cxn modelId="{A462CA72-0B37-4FF4-901D-5F108F240F61}" type="presOf" srcId="{84353C17-8592-419A-AB12-F6DCA380E432}" destId="{A50CA49C-0CCB-4742-A3AB-2718EB12550C}" srcOrd="0" destOrd="0" presId="urn:microsoft.com/office/officeart/2005/8/layout/vList5"/>
    <dgm:cxn modelId="{0CF2900F-2C14-4BC1-A0B7-6E9DAA97E1A9}" srcId="{DD5D06E0-B431-4EB2-B976-2C8362C8B91F}" destId="{B0810572-3B08-4B06-BA55-850930892C97}" srcOrd="0" destOrd="0" parTransId="{12276652-B00C-455E-AC07-FAEAAA55209A}" sibTransId="{E9526802-0C8C-435E-9042-3F38FCB9654C}"/>
    <dgm:cxn modelId="{180980D5-2794-4125-A8D6-6D38CC953D90}" srcId="{5B6D3E42-EFE0-4F94-A233-3178A82F5F02}" destId="{9BDC49BB-6F93-4132-8042-C7D000796802}" srcOrd="0" destOrd="0" parTransId="{9BDA63C5-DD65-49BA-8D05-65185F7FE228}" sibTransId="{28183402-D922-47A8-A97F-41DAA8271969}"/>
    <dgm:cxn modelId="{C13E86BA-408A-401F-90D9-CA89118AD854}" srcId="{1B063356-D633-4CF4-839F-D00AFF1BCEE4}" destId="{75EEE52B-8009-4A76-985C-D820369EB290}" srcOrd="1" destOrd="0" parTransId="{C8D83D96-7AC8-4E3F-A5D7-2E571E3A200F}" sibTransId="{B73C7ADE-093B-4A0B-B86F-51D833E9661B}"/>
    <dgm:cxn modelId="{D1287132-4AFB-480D-A02C-76ABCA91A693}" type="presOf" srcId="{B0810572-3B08-4B06-BA55-850930892C97}" destId="{662769AF-0DB1-44EB-B5B2-42977151E49C}" srcOrd="0" destOrd="0" presId="urn:microsoft.com/office/officeart/2005/8/layout/vList5"/>
    <dgm:cxn modelId="{3FD5011D-93A9-438E-9BD7-3A5A88069CF4}" srcId="{84353C17-8592-419A-AB12-F6DCA380E432}" destId="{3FCFA136-6818-4024-AF7E-34F71072D635}" srcOrd="1" destOrd="0" parTransId="{53A31546-B8EE-469A-8B33-29741F632564}" sibTransId="{76B6A6D7-F20D-419F-B8F2-9A6FFF562915}"/>
    <dgm:cxn modelId="{F3EA82D9-1831-466D-85BC-4676C80000D7}" type="presOf" srcId="{3EFA4919-D079-4101-AE66-A486DD84DB38}" destId="{71FC3A77-B605-4D85-BF54-9A1A238C71EE}" srcOrd="0" destOrd="0" presId="urn:microsoft.com/office/officeart/2005/8/layout/vList5"/>
    <dgm:cxn modelId="{3FAC9378-AA8A-44A8-B2B5-50A314B1743B}" srcId="{8D955882-1460-4332-A809-D8A196AD652A}" destId="{C6C3B0DD-10B8-4436-997E-5C57787A2D46}" srcOrd="1" destOrd="0" parTransId="{614CA3F9-015D-4844-A330-F22B267700F1}" sibTransId="{D16BB327-E711-4DE7-A871-3769AAD261F0}"/>
    <dgm:cxn modelId="{41C16667-40B7-488F-BDB4-A38449652928}" srcId="{1B063356-D633-4CF4-839F-D00AFF1BCEE4}" destId="{3EFA4919-D079-4101-AE66-A486DD84DB38}" srcOrd="0" destOrd="0" parTransId="{DEF7FAB0-86AE-4BBD-AF18-EDF46BC98A58}" sibTransId="{22EE196D-75C5-4EF5-8E53-82278C34A30A}"/>
    <dgm:cxn modelId="{EBB62CAB-BCB9-49DE-B379-D26BBD2A1279}" srcId="{5BD0734C-0653-4402-9B17-434060CDAE17}" destId="{49B27D1B-3DA7-4953-80DA-AD79B0A13DCA}" srcOrd="0" destOrd="0" parTransId="{AE1A09C6-5137-4769-8108-585F5050AB0F}" sibTransId="{05EA7C23-863E-4CC3-BAED-3B6E181710B7}"/>
    <dgm:cxn modelId="{4CD9CDF5-3BB9-4A17-8F90-66FE3DB1684B}" type="presOf" srcId="{49B27D1B-3DA7-4953-80DA-AD79B0A13DCA}" destId="{AAF77B88-B94E-41BE-84E6-5BB6441DD602}" srcOrd="0" destOrd="0" presId="urn:microsoft.com/office/officeart/2005/8/layout/vList5"/>
    <dgm:cxn modelId="{38D25B6D-E399-496A-AC1C-E897E5241740}" srcId="{84353C17-8592-419A-AB12-F6DCA380E432}" destId="{EF5EF0BA-2446-4FCE-8D14-61C65CD25100}" srcOrd="2" destOrd="0" parTransId="{3C536B5C-C991-4304-BF58-217FFDE707C7}" sibTransId="{577845CC-FD8F-41EF-82B8-CAE27EC25220}"/>
    <dgm:cxn modelId="{8EC20C56-75C3-4B35-A02D-96C4A384D2F7}" type="presOf" srcId="{5B6D3E42-EFE0-4F94-A233-3178A82F5F02}" destId="{1F14C39D-B1A2-4252-B82C-1E2BE29FD695}" srcOrd="0" destOrd="0" presId="urn:microsoft.com/office/officeart/2005/8/layout/vList5"/>
    <dgm:cxn modelId="{F158CDD9-7573-49F5-9B13-715659486990}" srcId="{8118D87A-4F02-4253-9A5F-3C39F0A7CBA2}" destId="{1B063356-D633-4CF4-839F-D00AFF1BCEE4}" srcOrd="1" destOrd="0" parTransId="{9C6A11EB-6E08-48D3-9808-B8B6ADD2904A}" sibTransId="{5F6BA4D3-F7C0-4FE8-AF53-1D0F785A8058}"/>
    <dgm:cxn modelId="{FC01431B-260B-49F9-B5BD-E3934C84F872}" srcId="{B6F76811-4F71-447D-B52F-03A10F7CEF37}" destId="{2E5E015B-D7B6-44BB-B7E5-B9632A3E97EA}" srcOrd="0" destOrd="0" parTransId="{65DB803D-C555-4628-A107-9F4565EB94ED}" sibTransId="{FBBE2423-55F7-407C-8F8C-59D528562B0A}"/>
    <dgm:cxn modelId="{2BDC9363-1DD9-4A1B-BB52-E08780729BC4}" type="presOf" srcId="{9BDC49BB-6F93-4132-8042-C7D000796802}" destId="{F179B12B-5B0D-4627-9F57-40F9E4135E96}" srcOrd="0" destOrd="0" presId="urn:microsoft.com/office/officeart/2005/8/layout/vList5"/>
    <dgm:cxn modelId="{8F8DE8C2-B78B-4911-A0AB-E50687EA0591}" srcId="{84353C17-8592-419A-AB12-F6DCA380E432}" destId="{A50C18EB-EEFC-4C2A-A042-840159C3C97A}" srcOrd="0" destOrd="0" parTransId="{F6A8BF05-40DB-4EBC-A812-CF81964A6D3B}" sibTransId="{AE18F041-E5F0-4733-8414-C7142D3D7039}"/>
    <dgm:cxn modelId="{3FB221DD-A4A9-449E-A617-CFA8045DD516}" srcId="{8118D87A-4F02-4253-9A5F-3C39F0A7CBA2}" destId="{DD5D06E0-B431-4EB2-B976-2C8362C8B91F}" srcOrd="3" destOrd="0" parTransId="{79C9D73F-80A5-4E49-85DF-091ABEDE4F8B}" sibTransId="{737E2945-AE87-4F6F-94C5-BB7B038102B6}"/>
    <dgm:cxn modelId="{981DFEAD-B111-4BB2-A9B6-0AFE5D21EDCF}" type="presOf" srcId="{C6C3B0DD-10B8-4436-997E-5C57787A2D46}" destId="{4F4A56AE-F660-4D17-9A0B-B5480E690788}" srcOrd="0" destOrd="1" presId="urn:microsoft.com/office/officeart/2005/8/layout/vList5"/>
    <dgm:cxn modelId="{ADBE077F-8246-4BC5-85D6-5D1362BFA454}" type="presOf" srcId="{1B063356-D633-4CF4-839F-D00AFF1BCEE4}" destId="{B2CA5DA5-078B-4C12-8F26-BBCBB9776D48}" srcOrd="0" destOrd="0" presId="urn:microsoft.com/office/officeart/2005/8/layout/vList5"/>
    <dgm:cxn modelId="{FCF323A7-B7F6-4129-94F6-6FF5B9710E48}" type="presOf" srcId="{A50C18EB-EEFC-4C2A-A042-840159C3C97A}" destId="{E43FB935-8028-43C7-82F6-ED23B220EE53}" srcOrd="0" destOrd="0" presId="urn:microsoft.com/office/officeart/2005/8/layout/vList5"/>
    <dgm:cxn modelId="{48C697DD-DF5E-43B4-8D41-A55986ABD854}" type="presOf" srcId="{B6F76811-4F71-447D-B52F-03A10F7CEF37}" destId="{27336A29-E5E4-416E-9649-044022C72310}" srcOrd="0" destOrd="0" presId="urn:microsoft.com/office/officeart/2005/8/layout/vList5"/>
    <dgm:cxn modelId="{E4E949BA-952A-4ADE-88AA-E3210C40C987}" srcId="{8118D87A-4F02-4253-9A5F-3C39F0A7CBA2}" destId="{B6F76811-4F71-447D-B52F-03A10F7CEF37}" srcOrd="4" destOrd="0" parTransId="{CB479966-C916-41A9-A976-FCDAF92021DB}" sibTransId="{76F18A08-4F01-4999-AC06-175D6D984ACF}"/>
    <dgm:cxn modelId="{635197B4-0EFA-4ED8-A0E7-3CAA497F341D}" srcId="{8118D87A-4F02-4253-9A5F-3C39F0A7CBA2}" destId="{84353C17-8592-419A-AB12-F6DCA380E432}" srcOrd="0" destOrd="0" parTransId="{32B863CF-6E79-49CA-80C4-8F0EF39827D5}" sibTransId="{116089C5-3BF6-44CC-A3E1-45C1D1A70881}"/>
    <dgm:cxn modelId="{620565EF-4EAF-4B69-8F0F-E333241F58B5}" type="presOf" srcId="{5BD0734C-0653-4402-9B17-434060CDAE17}" destId="{CD51FBF5-663B-4C50-A974-003633B88A2D}" srcOrd="0" destOrd="0" presId="urn:microsoft.com/office/officeart/2005/8/layout/vList5"/>
    <dgm:cxn modelId="{09050E54-855E-4B72-A2EF-102AFF775A08}" srcId="{8118D87A-4F02-4253-9A5F-3C39F0A7CBA2}" destId="{5BD0734C-0653-4402-9B17-434060CDAE17}" srcOrd="2" destOrd="0" parTransId="{E6F6931E-EB58-415A-B5C7-B202FBFC150D}" sibTransId="{BACC572F-1B17-427E-9832-840C7C1D8490}"/>
    <dgm:cxn modelId="{4D738679-EC91-4CD7-9CAC-5D350D67EEB7}" type="presOf" srcId="{DD5D06E0-B431-4EB2-B976-2C8362C8B91F}" destId="{823725ED-C274-4CE7-A906-437920334489}" srcOrd="0" destOrd="0" presId="urn:microsoft.com/office/officeart/2005/8/layout/vList5"/>
    <dgm:cxn modelId="{DE8DFB67-FF5B-4DDA-A267-6C2C245B2759}" srcId="{8D955882-1460-4332-A809-D8A196AD652A}" destId="{5BC2DB2C-3DA5-4F0B-AB34-4C2F4860AFF4}" srcOrd="0" destOrd="0" parTransId="{3C0ED184-CA31-4655-AA38-E4713EBE5B64}" sibTransId="{603743BA-5921-44B8-B8F4-A1E96D80772C}"/>
    <dgm:cxn modelId="{59C8A462-71D8-4484-81D7-BC23CA213717}" srcId="{8118D87A-4F02-4253-9A5F-3C39F0A7CBA2}" destId="{8D955882-1460-4332-A809-D8A196AD652A}" srcOrd="6" destOrd="0" parTransId="{BF5C518F-9CAE-45CC-A226-134A22A82A0C}" sibTransId="{7EB24CEB-E826-4182-A5D5-D304805C6F59}"/>
    <dgm:cxn modelId="{09D15CA0-FD57-4536-88D7-40B323D0A71F}" type="presOf" srcId="{75EEE52B-8009-4A76-985C-D820369EB290}" destId="{71FC3A77-B605-4D85-BF54-9A1A238C71EE}" srcOrd="0" destOrd="1" presId="urn:microsoft.com/office/officeart/2005/8/layout/vList5"/>
    <dgm:cxn modelId="{92C69E72-14CB-4DAA-876E-E98757442A34}" type="presOf" srcId="{EF5EF0BA-2446-4FCE-8D14-61C65CD25100}" destId="{E43FB935-8028-43C7-82F6-ED23B220EE53}" srcOrd="0" destOrd="2" presId="urn:microsoft.com/office/officeart/2005/8/layout/vList5"/>
    <dgm:cxn modelId="{34C8E1A6-4819-489F-9745-D347CB426B09}" srcId="{8118D87A-4F02-4253-9A5F-3C39F0A7CBA2}" destId="{5B6D3E42-EFE0-4F94-A233-3178A82F5F02}" srcOrd="5" destOrd="0" parTransId="{C9447702-83C7-44EA-921A-36EE6B4B2491}" sibTransId="{8EB22885-82CE-4E80-AB7F-36C4D1110DB5}"/>
    <dgm:cxn modelId="{92593BA3-6F42-454E-9D36-B4201334F41A}" type="presOf" srcId="{8D955882-1460-4332-A809-D8A196AD652A}" destId="{EEA5CA59-5869-4F38-B801-656CCC9247EE}" srcOrd="0" destOrd="0" presId="urn:microsoft.com/office/officeart/2005/8/layout/vList5"/>
    <dgm:cxn modelId="{B6833639-0601-4886-B57E-1898AEB730FE}" type="presOf" srcId="{8118D87A-4F02-4253-9A5F-3C39F0A7CBA2}" destId="{2E8DC62E-593B-459F-AB08-A7AEA8E85447}" srcOrd="0" destOrd="0" presId="urn:microsoft.com/office/officeart/2005/8/layout/vList5"/>
    <dgm:cxn modelId="{F1BEED4C-B7B7-42E7-9CE2-A00FB8884C71}" type="presOf" srcId="{2E5E015B-D7B6-44BB-B7E5-B9632A3E97EA}" destId="{61A86215-95F4-4E0B-B514-85E13900095A}" srcOrd="0" destOrd="0" presId="urn:microsoft.com/office/officeart/2005/8/layout/vList5"/>
    <dgm:cxn modelId="{3B924AF3-F42A-411F-A2B7-14037D25DAE6}" type="presOf" srcId="{3FCFA136-6818-4024-AF7E-34F71072D635}" destId="{E43FB935-8028-43C7-82F6-ED23B220EE53}" srcOrd="0" destOrd="1" presId="urn:microsoft.com/office/officeart/2005/8/layout/vList5"/>
    <dgm:cxn modelId="{127F76DD-5A80-401C-A1C5-CB51CBCC6D1F}" type="presParOf" srcId="{2E8DC62E-593B-459F-AB08-A7AEA8E85447}" destId="{AB04E0E1-8D00-4664-88CD-12651D0C33F5}" srcOrd="0" destOrd="0" presId="urn:microsoft.com/office/officeart/2005/8/layout/vList5"/>
    <dgm:cxn modelId="{634162D2-6E95-47EA-A9C8-9BD4A4770095}" type="presParOf" srcId="{AB04E0E1-8D00-4664-88CD-12651D0C33F5}" destId="{A50CA49C-0CCB-4742-A3AB-2718EB12550C}" srcOrd="0" destOrd="0" presId="urn:microsoft.com/office/officeart/2005/8/layout/vList5"/>
    <dgm:cxn modelId="{1356F6D3-E216-454E-B5D5-C8DE50AE1668}" type="presParOf" srcId="{AB04E0E1-8D00-4664-88CD-12651D0C33F5}" destId="{E43FB935-8028-43C7-82F6-ED23B220EE53}" srcOrd="1" destOrd="0" presId="urn:microsoft.com/office/officeart/2005/8/layout/vList5"/>
    <dgm:cxn modelId="{9131E434-AAE1-47E9-97CE-855DE41C4406}" type="presParOf" srcId="{2E8DC62E-593B-459F-AB08-A7AEA8E85447}" destId="{1DD29710-A414-4D47-BA27-3AAD0FFFCEB3}" srcOrd="1" destOrd="0" presId="urn:microsoft.com/office/officeart/2005/8/layout/vList5"/>
    <dgm:cxn modelId="{FF7AA4BC-1B5A-4C70-8009-5D7CC6AC456C}" type="presParOf" srcId="{2E8DC62E-593B-459F-AB08-A7AEA8E85447}" destId="{EE67AD9A-8E70-4178-9E47-9E673405714F}" srcOrd="2" destOrd="0" presId="urn:microsoft.com/office/officeart/2005/8/layout/vList5"/>
    <dgm:cxn modelId="{9438C872-C7E3-47BC-B078-00A5345E833D}" type="presParOf" srcId="{EE67AD9A-8E70-4178-9E47-9E673405714F}" destId="{B2CA5DA5-078B-4C12-8F26-BBCBB9776D48}" srcOrd="0" destOrd="0" presId="urn:microsoft.com/office/officeart/2005/8/layout/vList5"/>
    <dgm:cxn modelId="{402D3D6C-EADF-49B2-9F12-99AD19763F47}" type="presParOf" srcId="{EE67AD9A-8E70-4178-9E47-9E673405714F}" destId="{71FC3A77-B605-4D85-BF54-9A1A238C71EE}" srcOrd="1" destOrd="0" presId="urn:microsoft.com/office/officeart/2005/8/layout/vList5"/>
    <dgm:cxn modelId="{6A9B8EB3-51C6-4C03-B58A-EDBAA3127262}" type="presParOf" srcId="{2E8DC62E-593B-459F-AB08-A7AEA8E85447}" destId="{02B0C0C8-2AAC-4511-96AE-1D7A4DF2ABB1}" srcOrd="3" destOrd="0" presId="urn:microsoft.com/office/officeart/2005/8/layout/vList5"/>
    <dgm:cxn modelId="{38076C75-50F3-4175-BA7E-1706392519C7}" type="presParOf" srcId="{2E8DC62E-593B-459F-AB08-A7AEA8E85447}" destId="{2464E454-CADA-47EB-B92A-4146C94528FA}" srcOrd="4" destOrd="0" presId="urn:microsoft.com/office/officeart/2005/8/layout/vList5"/>
    <dgm:cxn modelId="{C226824E-61D7-4786-8F0F-430118698BD6}" type="presParOf" srcId="{2464E454-CADA-47EB-B92A-4146C94528FA}" destId="{CD51FBF5-663B-4C50-A974-003633B88A2D}" srcOrd="0" destOrd="0" presId="urn:microsoft.com/office/officeart/2005/8/layout/vList5"/>
    <dgm:cxn modelId="{E4BFDB36-2112-4AB0-BCDB-CB3A43F04912}" type="presParOf" srcId="{2464E454-CADA-47EB-B92A-4146C94528FA}" destId="{AAF77B88-B94E-41BE-84E6-5BB6441DD602}" srcOrd="1" destOrd="0" presId="urn:microsoft.com/office/officeart/2005/8/layout/vList5"/>
    <dgm:cxn modelId="{082533D4-2A28-4E88-A6F4-AFE9CAB0449A}" type="presParOf" srcId="{2E8DC62E-593B-459F-AB08-A7AEA8E85447}" destId="{03372AAC-1C3C-4000-9814-E4E75C1F6E0D}" srcOrd="5" destOrd="0" presId="urn:microsoft.com/office/officeart/2005/8/layout/vList5"/>
    <dgm:cxn modelId="{33977B48-B007-431E-869B-D559578416EC}" type="presParOf" srcId="{2E8DC62E-593B-459F-AB08-A7AEA8E85447}" destId="{789B96E8-E248-4B08-9C67-44F56B19FE89}" srcOrd="6" destOrd="0" presId="urn:microsoft.com/office/officeart/2005/8/layout/vList5"/>
    <dgm:cxn modelId="{BEDDCC74-6282-46CA-9A0A-96A58560D0CF}" type="presParOf" srcId="{789B96E8-E248-4B08-9C67-44F56B19FE89}" destId="{823725ED-C274-4CE7-A906-437920334489}" srcOrd="0" destOrd="0" presId="urn:microsoft.com/office/officeart/2005/8/layout/vList5"/>
    <dgm:cxn modelId="{970980E8-E5F1-46BF-9881-D415054816A7}" type="presParOf" srcId="{789B96E8-E248-4B08-9C67-44F56B19FE89}" destId="{662769AF-0DB1-44EB-B5B2-42977151E49C}" srcOrd="1" destOrd="0" presId="urn:microsoft.com/office/officeart/2005/8/layout/vList5"/>
    <dgm:cxn modelId="{1C004D64-CCA4-4B3F-A479-05E0A039F1E8}" type="presParOf" srcId="{2E8DC62E-593B-459F-AB08-A7AEA8E85447}" destId="{4F900B65-AC58-4213-B029-278A9BEFAA5D}" srcOrd="7" destOrd="0" presId="urn:microsoft.com/office/officeart/2005/8/layout/vList5"/>
    <dgm:cxn modelId="{69E54C79-95D1-4EC8-A854-A51973D5398E}" type="presParOf" srcId="{2E8DC62E-593B-459F-AB08-A7AEA8E85447}" destId="{FDA4C244-6B48-4C67-888C-F511799A95DC}" srcOrd="8" destOrd="0" presId="urn:microsoft.com/office/officeart/2005/8/layout/vList5"/>
    <dgm:cxn modelId="{FF1E8693-39DE-4B00-96E7-B87278C00E10}" type="presParOf" srcId="{FDA4C244-6B48-4C67-888C-F511799A95DC}" destId="{27336A29-E5E4-416E-9649-044022C72310}" srcOrd="0" destOrd="0" presId="urn:microsoft.com/office/officeart/2005/8/layout/vList5"/>
    <dgm:cxn modelId="{26AD99D7-EE20-4669-852F-7FBBD27C03BD}" type="presParOf" srcId="{FDA4C244-6B48-4C67-888C-F511799A95DC}" destId="{61A86215-95F4-4E0B-B514-85E13900095A}" srcOrd="1" destOrd="0" presId="urn:microsoft.com/office/officeart/2005/8/layout/vList5"/>
    <dgm:cxn modelId="{BD430D1D-DD21-4B4E-979E-DC500882D595}" type="presParOf" srcId="{2E8DC62E-593B-459F-AB08-A7AEA8E85447}" destId="{51AB0656-BFC5-4E98-B908-3CDA7ACEEE69}" srcOrd="9" destOrd="0" presId="urn:microsoft.com/office/officeart/2005/8/layout/vList5"/>
    <dgm:cxn modelId="{008E902F-379F-49AC-A326-DCD8C4FDC0B5}" type="presParOf" srcId="{2E8DC62E-593B-459F-AB08-A7AEA8E85447}" destId="{8674647C-0AC3-4213-8AA6-C1F541CDE419}" srcOrd="10" destOrd="0" presId="urn:microsoft.com/office/officeart/2005/8/layout/vList5"/>
    <dgm:cxn modelId="{36291BBD-EBBF-4337-9100-1DD715B4E72B}" type="presParOf" srcId="{8674647C-0AC3-4213-8AA6-C1F541CDE419}" destId="{1F14C39D-B1A2-4252-B82C-1E2BE29FD695}" srcOrd="0" destOrd="0" presId="urn:microsoft.com/office/officeart/2005/8/layout/vList5"/>
    <dgm:cxn modelId="{5CB7E019-B59F-43D3-946B-765D35C16F0F}" type="presParOf" srcId="{8674647C-0AC3-4213-8AA6-C1F541CDE419}" destId="{F179B12B-5B0D-4627-9F57-40F9E4135E96}" srcOrd="1" destOrd="0" presId="urn:microsoft.com/office/officeart/2005/8/layout/vList5"/>
    <dgm:cxn modelId="{2D99163E-9D44-444B-94E6-933440369FD7}" type="presParOf" srcId="{2E8DC62E-593B-459F-AB08-A7AEA8E85447}" destId="{19F888E2-A18B-46F9-9E4F-B9EEC1B56DF8}" srcOrd="11" destOrd="0" presId="urn:microsoft.com/office/officeart/2005/8/layout/vList5"/>
    <dgm:cxn modelId="{19EF551D-8C01-434E-9053-F5F9B599FB12}" type="presParOf" srcId="{2E8DC62E-593B-459F-AB08-A7AEA8E85447}" destId="{073EFF30-1EE6-4E6E-852C-AE82A3581DAC}" srcOrd="12" destOrd="0" presId="urn:microsoft.com/office/officeart/2005/8/layout/vList5"/>
    <dgm:cxn modelId="{E2153271-C3E9-4715-8948-B9013ABBEB1C}" type="presParOf" srcId="{073EFF30-1EE6-4E6E-852C-AE82A3581DAC}" destId="{EEA5CA59-5869-4F38-B801-656CCC9247EE}" srcOrd="0" destOrd="0" presId="urn:microsoft.com/office/officeart/2005/8/layout/vList5"/>
    <dgm:cxn modelId="{65D91E68-B35E-4F63-BCCF-F02A1235E098}" type="presParOf" srcId="{073EFF30-1EE6-4E6E-852C-AE82A3581DAC}" destId="{4F4A56AE-F660-4D17-9A0B-B5480E690788}" srcOrd="1" destOrd="0" presId="urn:microsoft.com/office/officeart/2005/8/layout/vList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B70E1BD-81B4-4380-B748-9D5178708671}" type="doc">
      <dgm:prSet loTypeId="urn:microsoft.com/office/officeart/2005/8/layout/cycle7" loCatId="cycle" qsTypeId="urn:microsoft.com/office/officeart/2005/8/quickstyle/simple5" qsCatId="simple" csTypeId="urn:microsoft.com/office/officeart/2005/8/colors/accent3_3" csCatId="accent3" phldr="1"/>
      <dgm:spPr/>
      <dgm:t>
        <a:bodyPr/>
        <a:lstStyle/>
        <a:p>
          <a:endParaRPr lang="en-GB"/>
        </a:p>
      </dgm:t>
    </dgm:pt>
    <dgm:pt modelId="{D961682C-9CB2-4164-9706-32124359368C}">
      <dgm:prSet phldrT="[Text]"/>
      <dgm:spPr/>
      <dgm:t>
        <a:bodyPr/>
        <a:lstStyle/>
        <a:p>
          <a:r>
            <a:rPr lang="en-GB"/>
            <a:t>Stephen Clarke (Chair)</a:t>
          </a:r>
        </a:p>
      </dgm:t>
    </dgm:pt>
    <dgm:pt modelId="{A24DBE97-3EC7-4A32-A7B2-C0485AD7F154}" type="parTrans" cxnId="{C87514C7-447F-45FA-B39C-6441E69D6C62}">
      <dgm:prSet/>
      <dgm:spPr/>
      <dgm:t>
        <a:bodyPr/>
        <a:lstStyle/>
        <a:p>
          <a:endParaRPr lang="en-GB"/>
        </a:p>
      </dgm:t>
    </dgm:pt>
    <dgm:pt modelId="{2325302A-6221-4482-AB53-9B5EEE63EDF4}" type="sibTrans" cxnId="{C87514C7-447F-45FA-B39C-6441E69D6C62}">
      <dgm:prSet/>
      <dgm:spPr/>
      <dgm:t>
        <a:bodyPr/>
        <a:lstStyle/>
        <a:p>
          <a:endParaRPr lang="en-GB"/>
        </a:p>
      </dgm:t>
    </dgm:pt>
    <dgm:pt modelId="{4F41D1A3-E7FE-49B3-9456-1942CAD93083}">
      <dgm:prSet phldrT="[Text]"/>
      <dgm:spPr/>
      <dgm:t>
        <a:bodyPr/>
        <a:lstStyle/>
        <a:p>
          <a:r>
            <a:rPr lang="en-GB"/>
            <a:t>Lindsay Cane (Secretary)</a:t>
          </a:r>
        </a:p>
      </dgm:t>
    </dgm:pt>
    <dgm:pt modelId="{F0F0E7A8-5BCE-47A2-974D-C0773C523903}" type="parTrans" cxnId="{6B63BBF1-1BC9-4C0F-99B1-42D5681D25E4}">
      <dgm:prSet/>
      <dgm:spPr/>
      <dgm:t>
        <a:bodyPr/>
        <a:lstStyle/>
        <a:p>
          <a:endParaRPr lang="en-GB"/>
        </a:p>
      </dgm:t>
    </dgm:pt>
    <dgm:pt modelId="{52D98332-2A46-446B-B09C-173EF03DD7E2}" type="sibTrans" cxnId="{6B63BBF1-1BC9-4C0F-99B1-42D5681D25E4}">
      <dgm:prSet/>
      <dgm:spPr/>
      <dgm:t>
        <a:bodyPr/>
        <a:lstStyle/>
        <a:p>
          <a:endParaRPr lang="en-GB"/>
        </a:p>
      </dgm:t>
    </dgm:pt>
    <dgm:pt modelId="{74A0217C-B644-4835-8E86-37ACF040C923}">
      <dgm:prSet phldrT="[Text]"/>
      <dgm:spPr/>
      <dgm:t>
        <a:bodyPr/>
        <a:lstStyle/>
        <a:p>
          <a:r>
            <a:rPr lang="en-GB"/>
            <a:t>Jane Winfield (Director)</a:t>
          </a:r>
        </a:p>
      </dgm:t>
    </dgm:pt>
    <dgm:pt modelId="{0044B13C-340D-4199-9914-24CC9383B515}" type="parTrans" cxnId="{B319DC40-799C-488D-BE18-326A7B421187}">
      <dgm:prSet/>
      <dgm:spPr/>
      <dgm:t>
        <a:bodyPr/>
        <a:lstStyle/>
        <a:p>
          <a:endParaRPr lang="en-GB"/>
        </a:p>
      </dgm:t>
    </dgm:pt>
    <dgm:pt modelId="{53E176C9-52E3-454A-89ED-A13E1D7F475D}" type="sibTrans" cxnId="{B319DC40-799C-488D-BE18-326A7B421187}">
      <dgm:prSet/>
      <dgm:spPr/>
      <dgm:t>
        <a:bodyPr/>
        <a:lstStyle/>
        <a:p>
          <a:endParaRPr lang="en-GB"/>
        </a:p>
      </dgm:t>
    </dgm:pt>
    <dgm:pt modelId="{D7635BDA-1E60-46AE-A517-C45486C7FD87}" type="pres">
      <dgm:prSet presAssocID="{AB70E1BD-81B4-4380-B748-9D5178708671}" presName="Name0" presStyleCnt="0">
        <dgm:presLayoutVars>
          <dgm:dir/>
          <dgm:resizeHandles val="exact"/>
        </dgm:presLayoutVars>
      </dgm:prSet>
      <dgm:spPr/>
      <dgm:t>
        <a:bodyPr/>
        <a:lstStyle/>
        <a:p>
          <a:endParaRPr lang="en-GB"/>
        </a:p>
      </dgm:t>
    </dgm:pt>
    <dgm:pt modelId="{10541D4C-BB0C-45A1-A995-5ACEBAC580EB}" type="pres">
      <dgm:prSet presAssocID="{D961682C-9CB2-4164-9706-32124359368C}" presName="node" presStyleLbl="node1" presStyleIdx="0" presStyleCnt="3">
        <dgm:presLayoutVars>
          <dgm:bulletEnabled val="1"/>
        </dgm:presLayoutVars>
      </dgm:prSet>
      <dgm:spPr/>
      <dgm:t>
        <a:bodyPr/>
        <a:lstStyle/>
        <a:p>
          <a:endParaRPr lang="en-GB"/>
        </a:p>
      </dgm:t>
    </dgm:pt>
    <dgm:pt modelId="{375EA787-B923-45E3-A3DA-72E29AD89471}" type="pres">
      <dgm:prSet presAssocID="{2325302A-6221-4482-AB53-9B5EEE63EDF4}" presName="sibTrans" presStyleLbl="sibTrans2D1" presStyleIdx="0" presStyleCnt="3"/>
      <dgm:spPr/>
      <dgm:t>
        <a:bodyPr/>
        <a:lstStyle/>
        <a:p>
          <a:endParaRPr lang="en-GB"/>
        </a:p>
      </dgm:t>
    </dgm:pt>
    <dgm:pt modelId="{E4D9C5DC-6613-4D1C-8F03-7B7DDF68ED32}" type="pres">
      <dgm:prSet presAssocID="{2325302A-6221-4482-AB53-9B5EEE63EDF4}" presName="connectorText" presStyleLbl="sibTrans2D1" presStyleIdx="0" presStyleCnt="3"/>
      <dgm:spPr/>
      <dgm:t>
        <a:bodyPr/>
        <a:lstStyle/>
        <a:p>
          <a:endParaRPr lang="en-GB"/>
        </a:p>
      </dgm:t>
    </dgm:pt>
    <dgm:pt modelId="{6DB778FC-D980-4F00-A648-B74B7992A86B}" type="pres">
      <dgm:prSet presAssocID="{4F41D1A3-E7FE-49B3-9456-1942CAD93083}" presName="node" presStyleLbl="node1" presStyleIdx="1" presStyleCnt="3">
        <dgm:presLayoutVars>
          <dgm:bulletEnabled val="1"/>
        </dgm:presLayoutVars>
      </dgm:prSet>
      <dgm:spPr/>
      <dgm:t>
        <a:bodyPr/>
        <a:lstStyle/>
        <a:p>
          <a:endParaRPr lang="en-GB"/>
        </a:p>
      </dgm:t>
    </dgm:pt>
    <dgm:pt modelId="{6C3F25A3-54F5-4F60-A779-DE4C9B8BB447}" type="pres">
      <dgm:prSet presAssocID="{52D98332-2A46-446B-B09C-173EF03DD7E2}" presName="sibTrans" presStyleLbl="sibTrans2D1" presStyleIdx="1" presStyleCnt="3"/>
      <dgm:spPr/>
      <dgm:t>
        <a:bodyPr/>
        <a:lstStyle/>
        <a:p>
          <a:endParaRPr lang="en-GB"/>
        </a:p>
      </dgm:t>
    </dgm:pt>
    <dgm:pt modelId="{31F9BAB1-CC46-45F6-882B-422F8FD65A96}" type="pres">
      <dgm:prSet presAssocID="{52D98332-2A46-446B-B09C-173EF03DD7E2}" presName="connectorText" presStyleLbl="sibTrans2D1" presStyleIdx="1" presStyleCnt="3"/>
      <dgm:spPr/>
      <dgm:t>
        <a:bodyPr/>
        <a:lstStyle/>
        <a:p>
          <a:endParaRPr lang="en-GB"/>
        </a:p>
      </dgm:t>
    </dgm:pt>
    <dgm:pt modelId="{492ED10E-A513-4C36-AB5E-CB845D8D9AA5}" type="pres">
      <dgm:prSet presAssocID="{74A0217C-B644-4835-8E86-37ACF040C923}" presName="node" presStyleLbl="node1" presStyleIdx="2" presStyleCnt="3">
        <dgm:presLayoutVars>
          <dgm:bulletEnabled val="1"/>
        </dgm:presLayoutVars>
      </dgm:prSet>
      <dgm:spPr/>
      <dgm:t>
        <a:bodyPr/>
        <a:lstStyle/>
        <a:p>
          <a:endParaRPr lang="en-GB"/>
        </a:p>
      </dgm:t>
    </dgm:pt>
    <dgm:pt modelId="{A38A3851-58E1-4E01-819C-388122B04068}" type="pres">
      <dgm:prSet presAssocID="{53E176C9-52E3-454A-89ED-A13E1D7F475D}" presName="sibTrans" presStyleLbl="sibTrans2D1" presStyleIdx="2" presStyleCnt="3"/>
      <dgm:spPr/>
      <dgm:t>
        <a:bodyPr/>
        <a:lstStyle/>
        <a:p>
          <a:endParaRPr lang="en-GB"/>
        </a:p>
      </dgm:t>
    </dgm:pt>
    <dgm:pt modelId="{7E37A4B5-3898-4C40-A3BD-E95F03344577}" type="pres">
      <dgm:prSet presAssocID="{53E176C9-52E3-454A-89ED-A13E1D7F475D}" presName="connectorText" presStyleLbl="sibTrans2D1" presStyleIdx="2" presStyleCnt="3"/>
      <dgm:spPr/>
      <dgm:t>
        <a:bodyPr/>
        <a:lstStyle/>
        <a:p>
          <a:endParaRPr lang="en-GB"/>
        </a:p>
      </dgm:t>
    </dgm:pt>
  </dgm:ptLst>
  <dgm:cxnLst>
    <dgm:cxn modelId="{641BFB07-B000-430A-80B9-D2B9BEDE8E40}" type="presOf" srcId="{2325302A-6221-4482-AB53-9B5EEE63EDF4}" destId="{E4D9C5DC-6613-4D1C-8F03-7B7DDF68ED32}" srcOrd="1" destOrd="0" presId="urn:microsoft.com/office/officeart/2005/8/layout/cycle7"/>
    <dgm:cxn modelId="{6B63BBF1-1BC9-4C0F-99B1-42D5681D25E4}" srcId="{AB70E1BD-81B4-4380-B748-9D5178708671}" destId="{4F41D1A3-E7FE-49B3-9456-1942CAD93083}" srcOrd="1" destOrd="0" parTransId="{F0F0E7A8-5BCE-47A2-974D-C0773C523903}" sibTransId="{52D98332-2A46-446B-B09C-173EF03DD7E2}"/>
    <dgm:cxn modelId="{C87514C7-447F-45FA-B39C-6441E69D6C62}" srcId="{AB70E1BD-81B4-4380-B748-9D5178708671}" destId="{D961682C-9CB2-4164-9706-32124359368C}" srcOrd="0" destOrd="0" parTransId="{A24DBE97-3EC7-4A32-A7B2-C0485AD7F154}" sibTransId="{2325302A-6221-4482-AB53-9B5EEE63EDF4}"/>
    <dgm:cxn modelId="{B319DC40-799C-488D-BE18-326A7B421187}" srcId="{AB70E1BD-81B4-4380-B748-9D5178708671}" destId="{74A0217C-B644-4835-8E86-37ACF040C923}" srcOrd="2" destOrd="0" parTransId="{0044B13C-340D-4199-9914-24CC9383B515}" sibTransId="{53E176C9-52E3-454A-89ED-A13E1D7F475D}"/>
    <dgm:cxn modelId="{FDD2F591-4CB6-48BD-A7DD-399BD74448B0}" type="presOf" srcId="{74A0217C-B644-4835-8E86-37ACF040C923}" destId="{492ED10E-A513-4C36-AB5E-CB845D8D9AA5}" srcOrd="0" destOrd="0" presId="urn:microsoft.com/office/officeart/2005/8/layout/cycle7"/>
    <dgm:cxn modelId="{A0A83B44-AFA2-4C71-9E06-658A7B09CDAD}" type="presOf" srcId="{53E176C9-52E3-454A-89ED-A13E1D7F475D}" destId="{7E37A4B5-3898-4C40-A3BD-E95F03344577}" srcOrd="1" destOrd="0" presId="urn:microsoft.com/office/officeart/2005/8/layout/cycle7"/>
    <dgm:cxn modelId="{325591FC-6357-4A28-A53E-75267889E207}" type="presOf" srcId="{D961682C-9CB2-4164-9706-32124359368C}" destId="{10541D4C-BB0C-45A1-A995-5ACEBAC580EB}" srcOrd="0" destOrd="0" presId="urn:microsoft.com/office/officeart/2005/8/layout/cycle7"/>
    <dgm:cxn modelId="{03038676-2F41-4E3F-8AF2-629CBC8ADA11}" type="presOf" srcId="{2325302A-6221-4482-AB53-9B5EEE63EDF4}" destId="{375EA787-B923-45E3-A3DA-72E29AD89471}" srcOrd="0" destOrd="0" presId="urn:microsoft.com/office/officeart/2005/8/layout/cycle7"/>
    <dgm:cxn modelId="{03215535-4DA4-4538-BF49-86E3B8D6FB3B}" type="presOf" srcId="{53E176C9-52E3-454A-89ED-A13E1D7F475D}" destId="{A38A3851-58E1-4E01-819C-388122B04068}" srcOrd="0" destOrd="0" presId="urn:microsoft.com/office/officeart/2005/8/layout/cycle7"/>
    <dgm:cxn modelId="{37939B18-0866-4471-BBFC-B4216BB92B31}" type="presOf" srcId="{52D98332-2A46-446B-B09C-173EF03DD7E2}" destId="{6C3F25A3-54F5-4F60-A779-DE4C9B8BB447}" srcOrd="0" destOrd="0" presId="urn:microsoft.com/office/officeart/2005/8/layout/cycle7"/>
    <dgm:cxn modelId="{97EDFF7D-E6C1-4A04-AC33-E8BD56FFBA52}" type="presOf" srcId="{52D98332-2A46-446B-B09C-173EF03DD7E2}" destId="{31F9BAB1-CC46-45F6-882B-422F8FD65A96}" srcOrd="1" destOrd="0" presId="urn:microsoft.com/office/officeart/2005/8/layout/cycle7"/>
    <dgm:cxn modelId="{4581B00D-52A4-4CAC-A454-A63C4523237E}" type="presOf" srcId="{4F41D1A3-E7FE-49B3-9456-1942CAD93083}" destId="{6DB778FC-D980-4F00-A648-B74B7992A86B}" srcOrd="0" destOrd="0" presId="urn:microsoft.com/office/officeart/2005/8/layout/cycle7"/>
    <dgm:cxn modelId="{96490DC6-D666-40D6-926F-B0954C681445}" type="presOf" srcId="{AB70E1BD-81B4-4380-B748-9D5178708671}" destId="{D7635BDA-1E60-46AE-A517-C45486C7FD87}" srcOrd="0" destOrd="0" presId="urn:microsoft.com/office/officeart/2005/8/layout/cycle7"/>
    <dgm:cxn modelId="{A523742E-3D4B-4A9B-BC26-A2BAFC493E86}" type="presParOf" srcId="{D7635BDA-1E60-46AE-A517-C45486C7FD87}" destId="{10541D4C-BB0C-45A1-A995-5ACEBAC580EB}" srcOrd="0" destOrd="0" presId="urn:microsoft.com/office/officeart/2005/8/layout/cycle7"/>
    <dgm:cxn modelId="{6FB56B38-12CA-461E-A216-882AFDF1F82C}" type="presParOf" srcId="{D7635BDA-1E60-46AE-A517-C45486C7FD87}" destId="{375EA787-B923-45E3-A3DA-72E29AD89471}" srcOrd="1" destOrd="0" presId="urn:microsoft.com/office/officeart/2005/8/layout/cycle7"/>
    <dgm:cxn modelId="{8DEDD10A-C2BB-42BC-80AD-B4D474EAE391}" type="presParOf" srcId="{375EA787-B923-45E3-A3DA-72E29AD89471}" destId="{E4D9C5DC-6613-4D1C-8F03-7B7DDF68ED32}" srcOrd="0" destOrd="0" presId="urn:microsoft.com/office/officeart/2005/8/layout/cycle7"/>
    <dgm:cxn modelId="{D5BC729B-12C7-4C1E-972F-4BEA739F68C6}" type="presParOf" srcId="{D7635BDA-1E60-46AE-A517-C45486C7FD87}" destId="{6DB778FC-D980-4F00-A648-B74B7992A86B}" srcOrd="2" destOrd="0" presId="urn:microsoft.com/office/officeart/2005/8/layout/cycle7"/>
    <dgm:cxn modelId="{CD519014-56FD-41B4-9550-9A8CB6ED30C3}" type="presParOf" srcId="{D7635BDA-1E60-46AE-A517-C45486C7FD87}" destId="{6C3F25A3-54F5-4F60-A779-DE4C9B8BB447}" srcOrd="3" destOrd="0" presId="urn:microsoft.com/office/officeart/2005/8/layout/cycle7"/>
    <dgm:cxn modelId="{306A0193-61DF-40E4-B655-4B68960D861F}" type="presParOf" srcId="{6C3F25A3-54F5-4F60-A779-DE4C9B8BB447}" destId="{31F9BAB1-CC46-45F6-882B-422F8FD65A96}" srcOrd="0" destOrd="0" presId="urn:microsoft.com/office/officeart/2005/8/layout/cycle7"/>
    <dgm:cxn modelId="{56ECFCA6-C6CD-44E8-B146-CC3A8C76E628}" type="presParOf" srcId="{D7635BDA-1E60-46AE-A517-C45486C7FD87}" destId="{492ED10E-A513-4C36-AB5E-CB845D8D9AA5}" srcOrd="4" destOrd="0" presId="urn:microsoft.com/office/officeart/2005/8/layout/cycle7"/>
    <dgm:cxn modelId="{61E22047-2BBE-4FD4-B01D-5FB6C5795C3B}" type="presParOf" srcId="{D7635BDA-1E60-46AE-A517-C45486C7FD87}" destId="{A38A3851-58E1-4E01-819C-388122B04068}" srcOrd="5" destOrd="0" presId="urn:microsoft.com/office/officeart/2005/8/layout/cycle7"/>
    <dgm:cxn modelId="{5C5477B2-798F-4AEA-B077-F3D7EF68938C}" type="presParOf" srcId="{A38A3851-58E1-4E01-819C-388122B04068}" destId="{7E37A4B5-3898-4C40-A3BD-E95F03344577}" srcOrd="0" destOrd="0" presId="urn:microsoft.com/office/officeart/2005/8/layout/cycle7"/>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AB247-B316-4553-8D5B-D26153B3DF22}">
      <dsp:nvSpPr>
        <dsp:cNvPr id="0" name=""/>
        <dsp:cNvSpPr/>
      </dsp:nvSpPr>
      <dsp:spPr>
        <a:xfrm>
          <a:off x="0" y="71"/>
          <a:ext cx="6305550" cy="326377"/>
        </a:xfrm>
        <a:prstGeom prst="roundRect">
          <a:avLst/>
        </a:prstGeom>
        <a:gradFill rotWithShape="0">
          <a:gsLst>
            <a:gs pos="0">
              <a:srgbClr val="005386">
                <a:alpha val="89804"/>
              </a:srgbClr>
            </a:gs>
            <a:gs pos="62000">
              <a:schemeClr val="accent3">
                <a:alpha val="90000"/>
                <a:hueOff val="0"/>
                <a:satOff val="0"/>
                <a:lumOff val="0"/>
                <a:alphaOff val="0"/>
                <a:tint val="100000"/>
                <a:shade val="100000"/>
                <a:satMod val="125000"/>
              </a:schemeClr>
            </a:gs>
            <a:gs pos="100000">
              <a:schemeClr val="accent3">
                <a:alpha val="9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3 		</a:t>
          </a:r>
          <a:r>
            <a:rPr lang="en-GB" sz="1400" kern="1200">
              <a:latin typeface="Calibri"/>
              <a:ea typeface="+mn-ea"/>
              <a:cs typeface="+mn-cs"/>
            </a:rPr>
            <a:t>Chairman's Letter</a:t>
          </a:r>
        </a:p>
      </dsp:txBody>
      <dsp:txXfrm>
        <a:off x="15932" y="16003"/>
        <a:ext cx="6273686" cy="294513"/>
      </dsp:txXfrm>
    </dsp:sp>
    <dsp:sp modelId="{033989D0-D5FD-4483-BD88-F364A417400C}">
      <dsp:nvSpPr>
        <dsp:cNvPr id="0" name=""/>
        <dsp:cNvSpPr/>
      </dsp:nvSpPr>
      <dsp:spPr>
        <a:xfrm>
          <a:off x="0" y="340300"/>
          <a:ext cx="6305550" cy="326377"/>
        </a:xfrm>
        <a:prstGeom prst="roundRect">
          <a:avLst/>
        </a:prstGeom>
        <a:gradFill rotWithShape="0">
          <a:gsLst>
            <a:gs pos="0">
              <a:schemeClr val="accent3">
                <a:alpha val="90000"/>
                <a:hueOff val="0"/>
                <a:satOff val="0"/>
                <a:lumOff val="0"/>
                <a:alphaOff val="-40000"/>
                <a:tint val="100000"/>
                <a:shade val="75000"/>
                <a:satMod val="160000"/>
              </a:schemeClr>
            </a:gs>
            <a:gs pos="62000">
              <a:schemeClr val="accent3">
                <a:alpha val="90000"/>
                <a:hueOff val="0"/>
                <a:satOff val="0"/>
                <a:lumOff val="0"/>
                <a:alphaOff val="-40000"/>
                <a:tint val="100000"/>
                <a:shade val="100000"/>
                <a:satMod val="125000"/>
              </a:schemeClr>
            </a:gs>
            <a:gs pos="100000">
              <a:schemeClr val="accent3">
                <a:alpha val="90000"/>
                <a:hueOff val="0"/>
                <a:satOff val="0"/>
                <a:lumOff val="0"/>
                <a:alphaOff val="-4000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4000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5 		</a:t>
          </a:r>
          <a:r>
            <a:rPr lang="en-GB" sz="1400" b="0" kern="1200">
              <a:latin typeface="Calibri"/>
              <a:ea typeface="+mn-ea"/>
              <a:cs typeface="+mn-cs"/>
            </a:rPr>
            <a:t>A Volitile Year</a:t>
          </a:r>
          <a:endParaRPr lang="en-GB" sz="1400" kern="1200">
            <a:latin typeface="Calibri"/>
            <a:ea typeface="+mn-ea"/>
            <a:cs typeface="+mn-cs"/>
          </a:endParaRPr>
        </a:p>
      </dsp:txBody>
      <dsp:txXfrm>
        <a:off x="15932" y="356232"/>
        <a:ext cx="6273686" cy="294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AB247-B316-4553-8D5B-D26153B3DF22}">
      <dsp:nvSpPr>
        <dsp:cNvPr id="0" name=""/>
        <dsp:cNvSpPr/>
      </dsp:nvSpPr>
      <dsp:spPr>
        <a:xfrm>
          <a:off x="0" y="4519"/>
          <a:ext cx="6261100" cy="344730"/>
        </a:xfrm>
        <a:prstGeom prst="roundRect">
          <a:avLst/>
        </a:prstGeom>
        <a:gradFill rotWithShape="0">
          <a:gsLst>
            <a:gs pos="0">
              <a:schemeClr val="accent3">
                <a:alpha val="90000"/>
                <a:hueOff val="0"/>
                <a:satOff val="0"/>
                <a:lumOff val="0"/>
                <a:alphaOff val="0"/>
                <a:tint val="100000"/>
                <a:shade val="75000"/>
                <a:satMod val="160000"/>
              </a:schemeClr>
            </a:gs>
            <a:gs pos="62000">
              <a:schemeClr val="accent3">
                <a:alpha val="90000"/>
                <a:hueOff val="0"/>
                <a:satOff val="0"/>
                <a:lumOff val="0"/>
                <a:alphaOff val="0"/>
                <a:tint val="100000"/>
                <a:shade val="100000"/>
                <a:satMod val="125000"/>
              </a:schemeClr>
            </a:gs>
            <a:gs pos="100000">
              <a:schemeClr val="accent3">
                <a:alpha val="9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6  		</a:t>
          </a:r>
          <a:r>
            <a:rPr lang="en-GB" sz="1400" b="0" kern="1200">
              <a:latin typeface="Calibri"/>
              <a:ea typeface="+mn-ea"/>
              <a:cs typeface="+mn-cs"/>
            </a:rPr>
            <a:t>Our Strategy</a:t>
          </a:r>
          <a:endParaRPr lang="en-GB" sz="1400" kern="1200">
            <a:latin typeface="Calibri"/>
            <a:ea typeface="+mn-ea"/>
            <a:cs typeface="+mn-cs"/>
          </a:endParaRPr>
        </a:p>
      </dsp:txBody>
      <dsp:txXfrm>
        <a:off x="16828" y="21347"/>
        <a:ext cx="6227444" cy="3110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AB247-B316-4553-8D5B-D26153B3DF22}">
      <dsp:nvSpPr>
        <dsp:cNvPr id="0" name=""/>
        <dsp:cNvSpPr/>
      </dsp:nvSpPr>
      <dsp:spPr>
        <a:xfrm>
          <a:off x="0" y="42640"/>
          <a:ext cx="6305550" cy="335790"/>
        </a:xfrm>
        <a:prstGeom prst="roundRect">
          <a:avLst/>
        </a:prstGeom>
        <a:gradFill rotWithShape="0">
          <a:gsLst>
            <a:gs pos="0">
              <a:schemeClr val="accent3">
                <a:alpha val="90000"/>
                <a:hueOff val="0"/>
                <a:satOff val="0"/>
                <a:lumOff val="0"/>
                <a:alphaOff val="0"/>
                <a:tint val="100000"/>
                <a:shade val="75000"/>
                <a:satMod val="160000"/>
              </a:schemeClr>
            </a:gs>
            <a:gs pos="62000">
              <a:schemeClr val="accent3">
                <a:alpha val="90000"/>
                <a:hueOff val="0"/>
                <a:satOff val="0"/>
                <a:lumOff val="0"/>
                <a:alphaOff val="0"/>
                <a:tint val="100000"/>
                <a:shade val="100000"/>
                <a:satMod val="125000"/>
              </a:schemeClr>
            </a:gs>
            <a:gs pos="100000">
              <a:schemeClr val="accent3">
                <a:alpha val="9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9  		</a:t>
          </a:r>
          <a:r>
            <a:rPr lang="en-GB" sz="1400" b="0" kern="1200">
              <a:latin typeface="Calibri"/>
              <a:ea typeface="+mn-ea"/>
              <a:cs typeface="+mn-cs"/>
            </a:rPr>
            <a:t>Measuring our Progress</a:t>
          </a:r>
        </a:p>
      </dsp:txBody>
      <dsp:txXfrm>
        <a:off x="16392" y="59032"/>
        <a:ext cx="6272766" cy="303006"/>
      </dsp:txXfrm>
    </dsp:sp>
    <dsp:sp modelId="{033989D0-D5FD-4483-BD88-F364A417400C}">
      <dsp:nvSpPr>
        <dsp:cNvPr id="0" name=""/>
        <dsp:cNvSpPr/>
      </dsp:nvSpPr>
      <dsp:spPr>
        <a:xfrm>
          <a:off x="0" y="418750"/>
          <a:ext cx="6305550" cy="335790"/>
        </a:xfrm>
        <a:prstGeom prst="roundRect">
          <a:avLst/>
        </a:prstGeom>
        <a:gradFill rotWithShape="0">
          <a:gsLst>
            <a:gs pos="0">
              <a:schemeClr val="accent3">
                <a:alpha val="90000"/>
                <a:hueOff val="0"/>
                <a:satOff val="0"/>
                <a:lumOff val="0"/>
                <a:alphaOff val="-13333"/>
                <a:tint val="100000"/>
                <a:shade val="75000"/>
                <a:satMod val="160000"/>
              </a:schemeClr>
            </a:gs>
            <a:gs pos="62000">
              <a:schemeClr val="accent3">
                <a:alpha val="90000"/>
                <a:hueOff val="0"/>
                <a:satOff val="0"/>
                <a:lumOff val="0"/>
                <a:alphaOff val="-13333"/>
                <a:tint val="100000"/>
                <a:shade val="100000"/>
                <a:satMod val="125000"/>
              </a:schemeClr>
            </a:gs>
            <a:gs pos="100000">
              <a:schemeClr val="accent3">
                <a:alpha val="90000"/>
                <a:hueOff val="0"/>
                <a:satOff val="0"/>
                <a:lumOff val="0"/>
                <a:alphaOff val="-13333"/>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13333"/>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10  		</a:t>
          </a:r>
          <a:r>
            <a:rPr lang="en-GB" sz="1400" b="0" kern="1200">
              <a:latin typeface="Calibri"/>
              <a:ea typeface="+mn-ea"/>
              <a:cs typeface="+mn-cs"/>
            </a:rPr>
            <a:t>Development and Financial Performance</a:t>
          </a:r>
        </a:p>
      </dsp:txBody>
      <dsp:txXfrm>
        <a:off x="16392" y="435142"/>
        <a:ext cx="6272766" cy="303006"/>
      </dsp:txXfrm>
    </dsp:sp>
    <dsp:sp modelId="{312D63E7-2A8B-44DD-A48E-88ECA72F8352}">
      <dsp:nvSpPr>
        <dsp:cNvPr id="0" name=""/>
        <dsp:cNvSpPr/>
      </dsp:nvSpPr>
      <dsp:spPr>
        <a:xfrm>
          <a:off x="0" y="794860"/>
          <a:ext cx="6305550" cy="335790"/>
        </a:xfrm>
        <a:prstGeom prst="roundRect">
          <a:avLst/>
        </a:prstGeom>
        <a:gradFill rotWithShape="0">
          <a:gsLst>
            <a:gs pos="0">
              <a:schemeClr val="accent3">
                <a:alpha val="90000"/>
                <a:hueOff val="0"/>
                <a:satOff val="0"/>
                <a:lumOff val="0"/>
                <a:alphaOff val="-26667"/>
                <a:tint val="100000"/>
                <a:shade val="75000"/>
                <a:satMod val="160000"/>
              </a:schemeClr>
            </a:gs>
            <a:gs pos="62000">
              <a:schemeClr val="accent3">
                <a:alpha val="90000"/>
                <a:hueOff val="0"/>
                <a:satOff val="0"/>
                <a:lumOff val="0"/>
                <a:alphaOff val="-26667"/>
                <a:tint val="100000"/>
                <a:shade val="100000"/>
                <a:satMod val="125000"/>
              </a:schemeClr>
            </a:gs>
            <a:gs pos="100000">
              <a:schemeClr val="accent3">
                <a:alpha val="90000"/>
                <a:hueOff val="0"/>
                <a:satOff val="0"/>
                <a:lumOff val="0"/>
                <a:alphaOff val="-26667"/>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26667"/>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14  		</a:t>
          </a:r>
          <a:r>
            <a:rPr lang="en-GB" sz="1400" b="0" kern="1200">
              <a:latin typeface="Calibri"/>
              <a:ea typeface="+mn-ea"/>
              <a:cs typeface="+mn-cs"/>
            </a:rPr>
            <a:t>Stress Testing</a:t>
          </a:r>
          <a:endParaRPr lang="en-GB" sz="1400" b="1" kern="1200">
            <a:latin typeface="Calibri"/>
            <a:ea typeface="+mn-ea"/>
            <a:cs typeface="+mn-cs"/>
          </a:endParaRPr>
        </a:p>
      </dsp:txBody>
      <dsp:txXfrm>
        <a:off x="16392" y="811252"/>
        <a:ext cx="6272766" cy="303006"/>
      </dsp:txXfrm>
    </dsp:sp>
    <dsp:sp modelId="{11B41A05-F917-4524-B3FA-EFA153E1F947}">
      <dsp:nvSpPr>
        <dsp:cNvPr id="0" name=""/>
        <dsp:cNvSpPr/>
      </dsp:nvSpPr>
      <dsp:spPr>
        <a:xfrm>
          <a:off x="0" y="1170970"/>
          <a:ext cx="6305550" cy="335790"/>
        </a:xfrm>
        <a:prstGeom prst="roundRect">
          <a:avLst/>
        </a:prstGeom>
        <a:gradFill rotWithShape="0">
          <a:gsLst>
            <a:gs pos="0">
              <a:schemeClr val="accent3">
                <a:alpha val="90000"/>
                <a:hueOff val="0"/>
                <a:satOff val="0"/>
                <a:lumOff val="0"/>
                <a:alphaOff val="-40000"/>
                <a:tint val="100000"/>
                <a:shade val="75000"/>
                <a:satMod val="160000"/>
              </a:schemeClr>
            </a:gs>
            <a:gs pos="62000">
              <a:schemeClr val="accent3">
                <a:alpha val="90000"/>
                <a:hueOff val="0"/>
                <a:satOff val="0"/>
                <a:lumOff val="0"/>
                <a:alphaOff val="-40000"/>
                <a:tint val="100000"/>
                <a:shade val="100000"/>
                <a:satMod val="125000"/>
              </a:schemeClr>
            </a:gs>
            <a:gs pos="100000">
              <a:schemeClr val="accent3">
                <a:alpha val="90000"/>
                <a:hueOff val="0"/>
                <a:satOff val="0"/>
                <a:lumOff val="0"/>
                <a:alphaOff val="-4000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4000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15  		</a:t>
          </a:r>
          <a:r>
            <a:rPr lang="en-GB" sz="1400" b="0" kern="1200">
              <a:latin typeface="Calibri"/>
              <a:ea typeface="+mn-ea"/>
              <a:cs typeface="+mn-cs"/>
            </a:rPr>
            <a:t>Managing Risk</a:t>
          </a:r>
          <a:endParaRPr lang="en-GB" sz="1400" b="1" kern="1200">
            <a:latin typeface="Calibri"/>
            <a:ea typeface="+mn-ea"/>
            <a:cs typeface="+mn-cs"/>
          </a:endParaRPr>
        </a:p>
      </dsp:txBody>
      <dsp:txXfrm>
        <a:off x="16392" y="1187362"/>
        <a:ext cx="6272766" cy="3030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AB247-B316-4553-8D5B-D26153B3DF22}">
      <dsp:nvSpPr>
        <dsp:cNvPr id="0" name=""/>
        <dsp:cNvSpPr/>
      </dsp:nvSpPr>
      <dsp:spPr>
        <a:xfrm>
          <a:off x="0" y="13280"/>
          <a:ext cx="6305550" cy="393119"/>
        </a:xfrm>
        <a:prstGeom prst="roundRect">
          <a:avLst/>
        </a:prstGeom>
        <a:gradFill rotWithShape="0">
          <a:gsLst>
            <a:gs pos="0">
              <a:schemeClr val="accent3">
                <a:alpha val="90000"/>
                <a:hueOff val="0"/>
                <a:satOff val="0"/>
                <a:lumOff val="0"/>
                <a:alphaOff val="0"/>
                <a:tint val="100000"/>
                <a:shade val="75000"/>
                <a:satMod val="160000"/>
              </a:schemeClr>
            </a:gs>
            <a:gs pos="62000">
              <a:schemeClr val="accent3">
                <a:alpha val="90000"/>
                <a:hueOff val="0"/>
                <a:satOff val="0"/>
                <a:lumOff val="0"/>
                <a:alphaOff val="0"/>
                <a:tint val="100000"/>
                <a:shade val="100000"/>
                <a:satMod val="125000"/>
              </a:schemeClr>
            </a:gs>
            <a:gs pos="100000">
              <a:schemeClr val="accent3">
                <a:alpha val="9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17  		</a:t>
          </a:r>
          <a:r>
            <a:rPr lang="en-GB" sz="1400" b="0" kern="1200">
              <a:latin typeface="Calibri"/>
              <a:ea typeface="+mn-ea"/>
              <a:cs typeface="+mn-cs"/>
            </a:rPr>
            <a:t>Board of Directors</a:t>
          </a:r>
        </a:p>
      </dsp:txBody>
      <dsp:txXfrm>
        <a:off x="19190" y="32470"/>
        <a:ext cx="6267170" cy="3547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AB247-B316-4553-8D5B-D26153B3DF22}">
      <dsp:nvSpPr>
        <dsp:cNvPr id="0" name=""/>
        <dsp:cNvSpPr/>
      </dsp:nvSpPr>
      <dsp:spPr>
        <a:xfrm>
          <a:off x="0" y="2505"/>
          <a:ext cx="6305550" cy="336959"/>
        </a:xfrm>
        <a:prstGeom prst="roundRect">
          <a:avLst/>
        </a:prstGeom>
        <a:gradFill rotWithShape="0">
          <a:gsLst>
            <a:gs pos="0">
              <a:schemeClr val="accent3">
                <a:alpha val="90000"/>
                <a:hueOff val="0"/>
                <a:satOff val="0"/>
                <a:lumOff val="0"/>
                <a:alphaOff val="0"/>
                <a:tint val="100000"/>
                <a:shade val="75000"/>
                <a:satMod val="160000"/>
              </a:schemeClr>
            </a:gs>
            <a:gs pos="62000">
              <a:schemeClr val="accent3">
                <a:alpha val="90000"/>
                <a:hueOff val="0"/>
                <a:satOff val="0"/>
                <a:lumOff val="0"/>
                <a:alphaOff val="0"/>
                <a:tint val="100000"/>
                <a:shade val="100000"/>
                <a:satMod val="125000"/>
              </a:schemeClr>
            </a:gs>
            <a:gs pos="100000">
              <a:schemeClr val="accent3">
                <a:alpha val="9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18		</a:t>
          </a:r>
          <a:r>
            <a:rPr lang="en-GB" sz="1400" b="0" kern="1200">
              <a:latin typeface="Calibri"/>
              <a:ea typeface="+mn-ea"/>
              <a:cs typeface="+mn-cs"/>
            </a:rPr>
            <a:t>Estimated Year-End Financial Statements</a:t>
          </a:r>
        </a:p>
      </dsp:txBody>
      <dsp:txXfrm>
        <a:off x="16449" y="18954"/>
        <a:ext cx="6272652" cy="304061"/>
      </dsp:txXfrm>
    </dsp:sp>
    <dsp:sp modelId="{033989D0-D5FD-4483-BD88-F364A417400C}">
      <dsp:nvSpPr>
        <dsp:cNvPr id="0" name=""/>
        <dsp:cNvSpPr/>
      </dsp:nvSpPr>
      <dsp:spPr>
        <a:xfrm>
          <a:off x="0" y="365385"/>
          <a:ext cx="6305550" cy="336959"/>
        </a:xfrm>
        <a:prstGeom prst="roundRect">
          <a:avLst/>
        </a:prstGeom>
        <a:gradFill rotWithShape="0">
          <a:gsLst>
            <a:gs pos="0">
              <a:schemeClr val="accent3">
                <a:alpha val="90000"/>
                <a:hueOff val="0"/>
                <a:satOff val="0"/>
                <a:lumOff val="0"/>
                <a:alphaOff val="-40000"/>
                <a:tint val="100000"/>
                <a:shade val="75000"/>
                <a:satMod val="160000"/>
              </a:schemeClr>
            </a:gs>
            <a:gs pos="62000">
              <a:schemeClr val="accent3">
                <a:alpha val="90000"/>
                <a:hueOff val="0"/>
                <a:satOff val="0"/>
                <a:lumOff val="0"/>
                <a:alphaOff val="-40000"/>
                <a:tint val="100000"/>
                <a:shade val="100000"/>
                <a:satMod val="125000"/>
              </a:schemeClr>
            </a:gs>
            <a:gs pos="100000">
              <a:schemeClr val="accent3">
                <a:alpha val="90000"/>
                <a:hueOff val="0"/>
                <a:satOff val="0"/>
                <a:lumOff val="0"/>
                <a:alphaOff val="-4000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alpha val="90000"/>
              <a:hueOff val="0"/>
              <a:satOff val="0"/>
              <a:lumOff val="0"/>
              <a:alphaOff val="-4000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latin typeface="Calibri"/>
              <a:ea typeface="+mn-ea"/>
              <a:cs typeface="+mn-cs"/>
            </a:rPr>
            <a:t>22 		</a:t>
          </a:r>
          <a:r>
            <a:rPr lang="en-GB" sz="1400" b="0" kern="1200">
              <a:latin typeface="Calibri"/>
              <a:ea typeface="+mn-ea"/>
              <a:cs typeface="+mn-cs"/>
            </a:rPr>
            <a:t>Notes to the Financial Statements</a:t>
          </a:r>
          <a:endParaRPr lang="en-GB" sz="1400" kern="1200">
            <a:latin typeface="Calibri"/>
            <a:ea typeface="+mn-ea"/>
            <a:cs typeface="+mn-cs"/>
          </a:endParaRPr>
        </a:p>
      </dsp:txBody>
      <dsp:txXfrm>
        <a:off x="16449" y="381834"/>
        <a:ext cx="6272652" cy="3040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1E546-45E8-4EF8-8A28-3BD757C4E33D}">
      <dsp:nvSpPr>
        <dsp:cNvPr id="0" name=""/>
        <dsp:cNvSpPr/>
      </dsp:nvSpPr>
      <dsp:spPr>
        <a:xfrm>
          <a:off x="1155206" y="103600"/>
          <a:ext cx="1338833" cy="1338833"/>
        </a:xfrm>
        <a:prstGeom prst="pie">
          <a:avLst>
            <a:gd name="adj1" fmla="val 16200000"/>
            <a:gd name="adj2" fmla="val 1800000"/>
          </a:avLst>
        </a:prstGeom>
        <a:solidFill>
          <a:schemeClr val="accent3">
            <a:alpha val="90000"/>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NPV</a:t>
          </a:r>
        </a:p>
      </dsp:txBody>
      <dsp:txXfrm>
        <a:off x="1860803" y="387305"/>
        <a:ext cx="478155" cy="398462"/>
      </dsp:txXfrm>
    </dsp:sp>
    <dsp:sp modelId="{9B7D8193-5CA1-451C-91AA-02B56C78F5E6}">
      <dsp:nvSpPr>
        <dsp:cNvPr id="0" name=""/>
        <dsp:cNvSpPr/>
      </dsp:nvSpPr>
      <dsp:spPr>
        <a:xfrm>
          <a:off x="1127632" y="151415"/>
          <a:ext cx="1338833" cy="1338833"/>
        </a:xfrm>
        <a:prstGeom prst="pie">
          <a:avLst>
            <a:gd name="adj1" fmla="val 1800000"/>
            <a:gd name="adj2" fmla="val 9000000"/>
          </a:avLst>
        </a:prstGeom>
        <a:solidFill>
          <a:schemeClr val="accent3">
            <a:alpha val="90000"/>
            <a:hueOff val="0"/>
            <a:satOff val="0"/>
            <a:lumOff val="0"/>
            <a:alphaOff val="-2000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PYB</a:t>
          </a:r>
        </a:p>
      </dsp:txBody>
      <dsp:txXfrm>
        <a:off x="1446402" y="1020063"/>
        <a:ext cx="717232" cy="350647"/>
      </dsp:txXfrm>
    </dsp:sp>
    <dsp:sp modelId="{88045F46-ED18-4B9A-A3F3-8691EF707DB1}">
      <dsp:nvSpPr>
        <dsp:cNvPr id="0" name=""/>
        <dsp:cNvSpPr/>
      </dsp:nvSpPr>
      <dsp:spPr>
        <a:xfrm>
          <a:off x="1100059" y="103600"/>
          <a:ext cx="1338833" cy="1338833"/>
        </a:xfrm>
        <a:prstGeom prst="pie">
          <a:avLst>
            <a:gd name="adj1" fmla="val 9000000"/>
            <a:gd name="adj2" fmla="val 16200000"/>
          </a:avLst>
        </a:prstGeom>
        <a:solidFill>
          <a:schemeClr val="accent3">
            <a:alpha val="90000"/>
            <a:hueOff val="0"/>
            <a:satOff val="0"/>
            <a:lumOff val="0"/>
            <a:alphaOff val="-4000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IRR</a:t>
          </a:r>
        </a:p>
      </dsp:txBody>
      <dsp:txXfrm>
        <a:off x="1255140" y="387305"/>
        <a:ext cx="478155" cy="398462"/>
      </dsp:txXfrm>
    </dsp:sp>
    <dsp:sp modelId="{C509DB3A-AF97-4BEF-9F24-F65BA6857B44}">
      <dsp:nvSpPr>
        <dsp:cNvPr id="0" name=""/>
        <dsp:cNvSpPr/>
      </dsp:nvSpPr>
      <dsp:spPr>
        <a:xfrm>
          <a:off x="1072436" y="20720"/>
          <a:ext cx="1504594" cy="1504594"/>
        </a:xfrm>
        <a:prstGeom prst="circularArrow">
          <a:avLst>
            <a:gd name="adj1" fmla="val 5085"/>
            <a:gd name="adj2" fmla="val 327528"/>
            <a:gd name="adj3" fmla="val 1472472"/>
            <a:gd name="adj4" fmla="val 16199432"/>
            <a:gd name="adj5" fmla="val 5932"/>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48463B-32B0-4A43-8CD2-2DF9CBD696C7}">
      <dsp:nvSpPr>
        <dsp:cNvPr id="0" name=""/>
        <dsp:cNvSpPr/>
      </dsp:nvSpPr>
      <dsp:spPr>
        <a:xfrm>
          <a:off x="1044752" y="68450"/>
          <a:ext cx="1504594" cy="1504594"/>
        </a:xfrm>
        <a:prstGeom prst="circularArrow">
          <a:avLst>
            <a:gd name="adj1" fmla="val 5085"/>
            <a:gd name="adj2" fmla="val 327528"/>
            <a:gd name="adj3" fmla="val 8671970"/>
            <a:gd name="adj4" fmla="val 1800502"/>
            <a:gd name="adj5" fmla="val 5932"/>
          </a:avLst>
        </a:prstGeom>
        <a:solidFill>
          <a:schemeClr val="accent3">
            <a:shade val="90000"/>
            <a:hueOff val="291443"/>
            <a:satOff val="-25993"/>
            <a:lumOff val="2438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8DDD9A-C018-4FEE-9204-DF1287DDD634}">
      <dsp:nvSpPr>
        <dsp:cNvPr id="0" name=""/>
        <dsp:cNvSpPr/>
      </dsp:nvSpPr>
      <dsp:spPr>
        <a:xfrm>
          <a:off x="1017068" y="20720"/>
          <a:ext cx="1504594" cy="1504594"/>
        </a:xfrm>
        <a:prstGeom prst="circularArrow">
          <a:avLst>
            <a:gd name="adj1" fmla="val 5085"/>
            <a:gd name="adj2" fmla="val 327528"/>
            <a:gd name="adj3" fmla="val 15873039"/>
            <a:gd name="adj4" fmla="val 9000000"/>
            <a:gd name="adj5" fmla="val 5932"/>
          </a:avLst>
        </a:prstGeom>
        <a:solidFill>
          <a:schemeClr val="accent3">
            <a:shade val="90000"/>
            <a:hueOff val="582887"/>
            <a:satOff val="-51986"/>
            <a:lumOff val="48759"/>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FB935-8028-43C7-82F6-ED23B220EE53}">
      <dsp:nvSpPr>
        <dsp:cNvPr id="0" name=""/>
        <dsp:cNvSpPr/>
      </dsp:nvSpPr>
      <dsp:spPr>
        <a:xfrm rot="5400000">
          <a:off x="3898593" y="-1503715"/>
          <a:ext cx="847449" cy="4068064"/>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latin typeface="Calibri"/>
              <a:ea typeface="+mn-ea"/>
              <a:cs typeface="+mn-cs"/>
            </a:rPr>
            <a:t>Scheme IRR</a:t>
          </a:r>
        </a:p>
        <a:p>
          <a:pPr marL="114300" lvl="1" indent="-114300" algn="l" defTabSz="666750">
            <a:lnSpc>
              <a:spcPct val="90000"/>
            </a:lnSpc>
            <a:spcBef>
              <a:spcPct val="0"/>
            </a:spcBef>
            <a:spcAft>
              <a:spcPct val="15000"/>
            </a:spcAft>
            <a:buChar char="••"/>
          </a:pPr>
          <a:r>
            <a:rPr lang="en-GB" sz="1500" kern="1200">
              <a:latin typeface="Calibri"/>
              <a:ea typeface="+mn-ea"/>
              <a:cs typeface="+mn-cs"/>
            </a:rPr>
            <a:t>Scheme NPV</a:t>
          </a:r>
        </a:p>
        <a:p>
          <a:pPr marL="114300" lvl="1" indent="-114300" algn="l" defTabSz="666750">
            <a:lnSpc>
              <a:spcPct val="90000"/>
            </a:lnSpc>
            <a:spcBef>
              <a:spcPct val="0"/>
            </a:spcBef>
            <a:spcAft>
              <a:spcPct val="15000"/>
            </a:spcAft>
            <a:buChar char="••"/>
          </a:pPr>
          <a:r>
            <a:rPr lang="en-GB" sz="1500" kern="1200">
              <a:latin typeface="Calibri"/>
              <a:ea typeface="+mn-ea"/>
              <a:cs typeface="+mn-cs"/>
            </a:rPr>
            <a:t>Scheme PYB</a:t>
          </a:r>
        </a:p>
      </dsp:txBody>
      <dsp:txXfrm rot="-5400000">
        <a:off x="2288286" y="147962"/>
        <a:ext cx="4026695" cy="764711"/>
      </dsp:txXfrm>
    </dsp:sp>
    <dsp:sp modelId="{A50CA49C-0CCB-4742-A3AB-2718EB12550C}">
      <dsp:nvSpPr>
        <dsp:cNvPr id="0" name=""/>
        <dsp:cNvSpPr/>
      </dsp:nvSpPr>
      <dsp:spPr>
        <a:xfrm>
          <a:off x="0" y="660"/>
          <a:ext cx="2288286" cy="1059312"/>
        </a:xfrm>
        <a:prstGeom prst="roundRect">
          <a:avLst/>
        </a:prstGeom>
        <a:solidFill>
          <a:schemeClr val="accent3">
            <a:alpha val="90000"/>
            <a:hueOff val="0"/>
            <a:satOff val="0"/>
            <a:lumOff val="0"/>
            <a:alphaOff val="0"/>
          </a:schemeClr>
        </a:solidFill>
        <a:ln>
          <a:noFill/>
        </a:ln>
        <a:effectLst>
          <a:outerShdw blurRad="50800" dist="38100" dir="5400000" rotWithShape="0">
            <a:srgbClr val="000000">
              <a:alpha val="61176"/>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GB" sz="2500" kern="1200">
              <a:latin typeface="Calibri"/>
              <a:ea typeface="+mn-ea"/>
              <a:cs typeface="+mn-cs"/>
            </a:rPr>
            <a:t>Outputs</a:t>
          </a:r>
        </a:p>
      </dsp:txBody>
      <dsp:txXfrm>
        <a:off x="51711" y="52371"/>
        <a:ext cx="2184864" cy="955890"/>
      </dsp:txXfrm>
    </dsp:sp>
    <dsp:sp modelId="{71FC3A77-B605-4D85-BF54-9A1A238C71EE}">
      <dsp:nvSpPr>
        <dsp:cNvPr id="0" name=""/>
        <dsp:cNvSpPr/>
      </dsp:nvSpPr>
      <dsp:spPr>
        <a:xfrm rot="5400000">
          <a:off x="3898593" y="-391437"/>
          <a:ext cx="847449" cy="4068064"/>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latin typeface="Calibri"/>
              <a:ea typeface="+mn-ea"/>
              <a:cs typeface="+mn-cs"/>
            </a:rPr>
            <a:t>Cost of land, build costs, oncosts, interest</a:t>
          </a:r>
        </a:p>
        <a:p>
          <a:pPr marL="114300" lvl="1" indent="-114300" algn="l" defTabSz="666750">
            <a:lnSpc>
              <a:spcPct val="90000"/>
            </a:lnSpc>
            <a:spcBef>
              <a:spcPct val="0"/>
            </a:spcBef>
            <a:spcAft>
              <a:spcPct val="15000"/>
            </a:spcAft>
            <a:buChar char="••"/>
          </a:pPr>
          <a:r>
            <a:rPr lang="en-GB" sz="1500" kern="1200">
              <a:latin typeface="Calibri"/>
              <a:ea typeface="+mn-ea"/>
              <a:cs typeface="+mn-cs"/>
            </a:rPr>
            <a:t>Income from sales, grants, etc.</a:t>
          </a:r>
        </a:p>
      </dsp:txBody>
      <dsp:txXfrm rot="-5400000">
        <a:off x="2288286" y="1260240"/>
        <a:ext cx="4026695" cy="764711"/>
      </dsp:txXfrm>
    </dsp:sp>
    <dsp:sp modelId="{B2CA5DA5-078B-4C12-8F26-BBCBB9776D48}">
      <dsp:nvSpPr>
        <dsp:cNvPr id="0" name=""/>
        <dsp:cNvSpPr/>
      </dsp:nvSpPr>
      <dsp:spPr>
        <a:xfrm>
          <a:off x="0" y="1112938"/>
          <a:ext cx="2288286" cy="1059312"/>
        </a:xfrm>
        <a:prstGeom prst="roundRect">
          <a:avLst/>
        </a:prstGeom>
        <a:solidFill>
          <a:schemeClr val="accent3">
            <a:alpha val="90000"/>
            <a:hueOff val="0"/>
            <a:satOff val="0"/>
            <a:lumOff val="0"/>
            <a:alphaOff val="-6667"/>
          </a:schemeClr>
        </a:solidFill>
        <a:ln>
          <a:noFill/>
        </a:ln>
        <a:effectLst>
          <a:outerShdw blurRad="50800" dist="38100" dir="5400000" rotWithShape="0">
            <a:srgbClr val="000000">
              <a:alpha val="61176"/>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GB" sz="2500" kern="1200">
              <a:latin typeface="Calibri"/>
              <a:ea typeface="+mn-ea"/>
              <a:cs typeface="+mn-cs"/>
            </a:rPr>
            <a:t>Capital Income and Costs</a:t>
          </a:r>
        </a:p>
      </dsp:txBody>
      <dsp:txXfrm>
        <a:off x="51711" y="1164649"/>
        <a:ext cx="2184864" cy="955890"/>
      </dsp:txXfrm>
    </dsp:sp>
    <dsp:sp modelId="{AAF77B88-B94E-41BE-84E6-5BB6441DD602}">
      <dsp:nvSpPr>
        <dsp:cNvPr id="0" name=""/>
        <dsp:cNvSpPr/>
      </dsp:nvSpPr>
      <dsp:spPr>
        <a:xfrm rot="5400000">
          <a:off x="3898593" y="720840"/>
          <a:ext cx="847449" cy="4068064"/>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latin typeface="Calibri"/>
              <a:ea typeface="+mn-ea"/>
              <a:cs typeface="+mn-cs"/>
            </a:rPr>
            <a:t>A timeline profile of scheme borrowing and subsequent debt redemption strategy</a:t>
          </a:r>
        </a:p>
      </dsp:txBody>
      <dsp:txXfrm rot="-5400000">
        <a:off x="2288286" y="2372517"/>
        <a:ext cx="4026695" cy="764711"/>
      </dsp:txXfrm>
    </dsp:sp>
    <dsp:sp modelId="{CD51FBF5-663B-4C50-A974-003633B88A2D}">
      <dsp:nvSpPr>
        <dsp:cNvPr id="0" name=""/>
        <dsp:cNvSpPr/>
      </dsp:nvSpPr>
      <dsp:spPr>
        <a:xfrm>
          <a:off x="0" y="2225216"/>
          <a:ext cx="2288286" cy="1059312"/>
        </a:xfrm>
        <a:prstGeom prst="roundRect">
          <a:avLst/>
        </a:prstGeom>
        <a:solidFill>
          <a:schemeClr val="accent3">
            <a:alpha val="90000"/>
            <a:hueOff val="0"/>
            <a:satOff val="0"/>
            <a:lumOff val="0"/>
            <a:alphaOff val="-13333"/>
          </a:schemeClr>
        </a:solidFill>
        <a:ln>
          <a:noFill/>
        </a:ln>
        <a:effectLst>
          <a:outerShdw blurRad="50800" dist="38100" dir="5400000" rotWithShape="0">
            <a:srgbClr val="000000">
              <a:alpha val="61176"/>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GB" sz="2500" kern="1200">
              <a:latin typeface="Calibri"/>
              <a:ea typeface="+mn-ea"/>
              <a:cs typeface="+mn-cs"/>
            </a:rPr>
            <a:t>Scheme Repayment</a:t>
          </a:r>
        </a:p>
      </dsp:txBody>
      <dsp:txXfrm>
        <a:off x="51711" y="2276927"/>
        <a:ext cx="2184864" cy="955890"/>
      </dsp:txXfrm>
    </dsp:sp>
    <dsp:sp modelId="{662769AF-0DB1-44EB-B5B2-42977151E49C}">
      <dsp:nvSpPr>
        <dsp:cNvPr id="0" name=""/>
        <dsp:cNvSpPr/>
      </dsp:nvSpPr>
      <dsp:spPr>
        <a:xfrm rot="5400000">
          <a:off x="3898593" y="1833117"/>
          <a:ext cx="847449" cy="4068064"/>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latin typeface="Calibri"/>
              <a:ea typeface="+mn-ea"/>
              <a:cs typeface="+mn-cs"/>
            </a:rPr>
            <a:t>Headline information relating to the scheme e.g. number of units etc.</a:t>
          </a:r>
        </a:p>
      </dsp:txBody>
      <dsp:txXfrm rot="-5400000">
        <a:off x="2288286" y="3484794"/>
        <a:ext cx="4026695" cy="764711"/>
      </dsp:txXfrm>
    </dsp:sp>
    <dsp:sp modelId="{823725ED-C274-4CE7-A906-437920334489}">
      <dsp:nvSpPr>
        <dsp:cNvPr id="0" name=""/>
        <dsp:cNvSpPr/>
      </dsp:nvSpPr>
      <dsp:spPr>
        <a:xfrm>
          <a:off x="0" y="3337493"/>
          <a:ext cx="2288286" cy="1059312"/>
        </a:xfrm>
        <a:prstGeom prst="roundRect">
          <a:avLst/>
        </a:prstGeom>
        <a:solidFill>
          <a:schemeClr val="accent3">
            <a:alpha val="90000"/>
            <a:hueOff val="0"/>
            <a:satOff val="0"/>
            <a:lumOff val="0"/>
            <a:alphaOff val="-20000"/>
          </a:schemeClr>
        </a:solidFill>
        <a:ln>
          <a:noFill/>
        </a:ln>
        <a:effectLst>
          <a:outerShdw blurRad="50800" dist="38100" dir="5400000" rotWithShape="0">
            <a:srgbClr val="000000">
              <a:alpha val="61176"/>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GB" sz="2500" kern="1200">
              <a:latin typeface="Calibri"/>
              <a:ea typeface="+mn-ea"/>
              <a:cs typeface="+mn-cs"/>
            </a:rPr>
            <a:t>Scheme Details</a:t>
          </a:r>
        </a:p>
      </dsp:txBody>
      <dsp:txXfrm>
        <a:off x="51711" y="3389204"/>
        <a:ext cx="2184864" cy="955890"/>
      </dsp:txXfrm>
    </dsp:sp>
    <dsp:sp modelId="{61A86215-95F4-4E0B-B514-85E13900095A}">
      <dsp:nvSpPr>
        <dsp:cNvPr id="0" name=""/>
        <dsp:cNvSpPr/>
      </dsp:nvSpPr>
      <dsp:spPr>
        <a:xfrm rot="5400000">
          <a:off x="3898593" y="2945395"/>
          <a:ext cx="847449" cy="4068064"/>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latin typeface="Calibri"/>
              <a:ea typeface="+mn-ea"/>
              <a:cs typeface="+mn-cs"/>
            </a:rPr>
            <a:t>Estimated timeline for beginning of Cashflow, Start on site, Last Handover etc.</a:t>
          </a:r>
        </a:p>
      </dsp:txBody>
      <dsp:txXfrm rot="-5400000">
        <a:off x="2288286" y="4597072"/>
        <a:ext cx="4026695" cy="764711"/>
      </dsp:txXfrm>
    </dsp:sp>
    <dsp:sp modelId="{27336A29-E5E4-416E-9649-044022C72310}">
      <dsp:nvSpPr>
        <dsp:cNvPr id="0" name=""/>
        <dsp:cNvSpPr/>
      </dsp:nvSpPr>
      <dsp:spPr>
        <a:xfrm>
          <a:off x="0" y="4449771"/>
          <a:ext cx="2288286" cy="1059312"/>
        </a:xfrm>
        <a:prstGeom prst="roundRect">
          <a:avLst/>
        </a:prstGeom>
        <a:solidFill>
          <a:schemeClr val="accent3">
            <a:alpha val="90000"/>
            <a:hueOff val="0"/>
            <a:satOff val="0"/>
            <a:lumOff val="0"/>
            <a:alphaOff val="-26667"/>
          </a:schemeClr>
        </a:solidFill>
        <a:ln>
          <a:noFill/>
        </a:ln>
        <a:effectLst>
          <a:outerShdw blurRad="50800" dist="38100" dir="5400000" rotWithShape="0">
            <a:srgbClr val="000000">
              <a:alpha val="61176"/>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GB" sz="2500" kern="1200">
              <a:latin typeface="Calibri"/>
              <a:ea typeface="+mn-ea"/>
              <a:cs typeface="+mn-cs"/>
            </a:rPr>
            <a:t>Key Dates</a:t>
          </a:r>
        </a:p>
      </dsp:txBody>
      <dsp:txXfrm>
        <a:off x="51711" y="4501482"/>
        <a:ext cx="2184864" cy="955890"/>
      </dsp:txXfrm>
    </dsp:sp>
    <dsp:sp modelId="{F179B12B-5B0D-4627-9F57-40F9E4135E96}">
      <dsp:nvSpPr>
        <dsp:cNvPr id="0" name=""/>
        <dsp:cNvSpPr/>
      </dsp:nvSpPr>
      <dsp:spPr>
        <a:xfrm rot="5400000">
          <a:off x="3898593" y="4057673"/>
          <a:ext cx="847449" cy="4068064"/>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latin typeface="Calibri"/>
              <a:ea typeface="+mn-ea"/>
              <a:cs typeface="+mn-cs"/>
            </a:rPr>
            <a:t>Type and number of different unit tenures provided by scheme</a:t>
          </a:r>
        </a:p>
      </dsp:txBody>
      <dsp:txXfrm rot="-5400000">
        <a:off x="2288286" y="5709350"/>
        <a:ext cx="4026695" cy="764711"/>
      </dsp:txXfrm>
    </dsp:sp>
    <dsp:sp modelId="{1F14C39D-B1A2-4252-B82C-1E2BE29FD695}">
      <dsp:nvSpPr>
        <dsp:cNvPr id="0" name=""/>
        <dsp:cNvSpPr/>
      </dsp:nvSpPr>
      <dsp:spPr>
        <a:xfrm>
          <a:off x="0" y="5562049"/>
          <a:ext cx="2288286" cy="1059312"/>
        </a:xfrm>
        <a:prstGeom prst="roundRect">
          <a:avLst/>
        </a:prstGeom>
        <a:solidFill>
          <a:schemeClr val="accent3">
            <a:alpha val="90000"/>
            <a:hueOff val="0"/>
            <a:satOff val="0"/>
            <a:lumOff val="0"/>
            <a:alphaOff val="-33333"/>
          </a:schemeClr>
        </a:solidFill>
        <a:ln>
          <a:noFill/>
        </a:ln>
        <a:effectLst>
          <a:outerShdw blurRad="50800" dist="38100" dir="5400000" rotWithShape="0">
            <a:srgbClr val="000000">
              <a:alpha val="61176"/>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GB" sz="2500" kern="1200">
              <a:latin typeface="Calibri"/>
              <a:ea typeface="+mn-ea"/>
              <a:cs typeface="+mn-cs"/>
            </a:rPr>
            <a:t>Unit Mix</a:t>
          </a:r>
        </a:p>
      </dsp:txBody>
      <dsp:txXfrm>
        <a:off x="51711" y="5613760"/>
        <a:ext cx="2184864" cy="955890"/>
      </dsp:txXfrm>
    </dsp:sp>
    <dsp:sp modelId="{4F4A56AE-F660-4D17-9A0B-B5480E690788}">
      <dsp:nvSpPr>
        <dsp:cNvPr id="0" name=""/>
        <dsp:cNvSpPr/>
      </dsp:nvSpPr>
      <dsp:spPr>
        <a:xfrm rot="5400000">
          <a:off x="3898593" y="5169951"/>
          <a:ext cx="847449" cy="4068064"/>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latin typeface="Calibri"/>
              <a:ea typeface="+mn-ea"/>
              <a:cs typeface="+mn-cs"/>
            </a:rPr>
            <a:t>Total NPV of each different tenure type</a:t>
          </a:r>
        </a:p>
        <a:p>
          <a:pPr marL="114300" lvl="1" indent="-114300" algn="l" defTabSz="666750">
            <a:lnSpc>
              <a:spcPct val="90000"/>
            </a:lnSpc>
            <a:spcBef>
              <a:spcPct val="0"/>
            </a:spcBef>
            <a:spcAft>
              <a:spcPct val="15000"/>
            </a:spcAft>
            <a:buChar char="••"/>
          </a:pPr>
          <a:r>
            <a:rPr lang="en-GB" sz="1500" kern="1200">
              <a:latin typeface="Calibri"/>
              <a:ea typeface="+mn-ea"/>
              <a:cs typeface="+mn-cs"/>
            </a:rPr>
            <a:t>Total IRR of each different tenure type </a:t>
          </a:r>
        </a:p>
      </dsp:txBody>
      <dsp:txXfrm rot="-5400000">
        <a:off x="2288286" y="6821628"/>
        <a:ext cx="4026695" cy="764711"/>
      </dsp:txXfrm>
    </dsp:sp>
    <dsp:sp modelId="{EEA5CA59-5869-4F38-B801-656CCC9247EE}">
      <dsp:nvSpPr>
        <dsp:cNvPr id="0" name=""/>
        <dsp:cNvSpPr/>
      </dsp:nvSpPr>
      <dsp:spPr>
        <a:xfrm>
          <a:off x="0" y="6674327"/>
          <a:ext cx="2288286" cy="1059312"/>
        </a:xfrm>
        <a:prstGeom prst="roundRect">
          <a:avLst/>
        </a:prstGeom>
        <a:solidFill>
          <a:schemeClr val="accent3">
            <a:alpha val="90000"/>
            <a:hueOff val="0"/>
            <a:satOff val="0"/>
            <a:lumOff val="0"/>
            <a:alphaOff val="-40000"/>
          </a:schemeClr>
        </a:solidFill>
        <a:ln>
          <a:noFill/>
        </a:ln>
        <a:effectLst>
          <a:outerShdw blurRad="50800" dist="38100" dir="5400000" rotWithShape="0">
            <a:srgbClr val="000000">
              <a:alpha val="61176"/>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GB" sz="2500" kern="1200">
              <a:latin typeface="Calibri"/>
              <a:ea typeface="+mn-ea"/>
              <a:cs typeface="+mn-cs"/>
            </a:rPr>
            <a:t>Tenure Types</a:t>
          </a:r>
        </a:p>
      </dsp:txBody>
      <dsp:txXfrm>
        <a:off x="51711" y="6726038"/>
        <a:ext cx="2184864" cy="95589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41D4C-BB0C-45A1-A995-5ACEBAC580EB}">
      <dsp:nvSpPr>
        <dsp:cNvPr id="0" name=""/>
        <dsp:cNvSpPr/>
      </dsp:nvSpPr>
      <dsp:spPr>
        <a:xfrm>
          <a:off x="1914078" y="654"/>
          <a:ext cx="1658242" cy="829121"/>
        </a:xfrm>
        <a:prstGeom prst="roundRect">
          <a:avLst>
            <a:gd name="adj" fmla="val 10000"/>
          </a:avLst>
        </a:prstGeom>
        <a:gradFill rotWithShape="0">
          <a:gsLst>
            <a:gs pos="0">
              <a:schemeClr val="accent3">
                <a:shade val="80000"/>
                <a:hueOff val="0"/>
                <a:satOff val="0"/>
                <a:lumOff val="0"/>
                <a:alphaOff val="0"/>
                <a:tint val="100000"/>
                <a:shade val="75000"/>
                <a:satMod val="160000"/>
              </a:schemeClr>
            </a:gs>
            <a:gs pos="62000">
              <a:schemeClr val="accent3">
                <a:shade val="80000"/>
                <a:hueOff val="0"/>
                <a:satOff val="0"/>
                <a:lumOff val="0"/>
                <a:alphaOff val="0"/>
                <a:tint val="100000"/>
                <a:shade val="100000"/>
                <a:satMod val="125000"/>
              </a:schemeClr>
            </a:gs>
            <a:gs pos="100000">
              <a:schemeClr val="accent3">
                <a:shade val="8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shade val="8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Stephen Clarke (Chair)</a:t>
          </a:r>
        </a:p>
      </dsp:txBody>
      <dsp:txXfrm>
        <a:off x="1938362" y="24938"/>
        <a:ext cx="1609674" cy="780553"/>
      </dsp:txXfrm>
    </dsp:sp>
    <dsp:sp modelId="{375EA787-B923-45E3-A3DA-72E29AD89471}">
      <dsp:nvSpPr>
        <dsp:cNvPr id="0" name=""/>
        <dsp:cNvSpPr/>
      </dsp:nvSpPr>
      <dsp:spPr>
        <a:xfrm rot="3600000">
          <a:off x="2996006" y="1455103"/>
          <a:ext cx="862689" cy="290192"/>
        </a:xfrm>
        <a:prstGeom prst="leftRightArrow">
          <a:avLst>
            <a:gd name="adj1" fmla="val 60000"/>
            <a:gd name="adj2" fmla="val 50000"/>
          </a:avLst>
        </a:prstGeom>
        <a:gradFill rotWithShape="0">
          <a:gsLst>
            <a:gs pos="0">
              <a:schemeClr val="accent3">
                <a:shade val="90000"/>
                <a:hueOff val="0"/>
                <a:satOff val="0"/>
                <a:lumOff val="0"/>
                <a:alphaOff val="0"/>
                <a:tint val="100000"/>
                <a:shade val="75000"/>
                <a:satMod val="160000"/>
              </a:schemeClr>
            </a:gs>
            <a:gs pos="62000">
              <a:schemeClr val="accent3">
                <a:shade val="90000"/>
                <a:hueOff val="0"/>
                <a:satOff val="0"/>
                <a:lumOff val="0"/>
                <a:alphaOff val="0"/>
                <a:tint val="100000"/>
                <a:shade val="100000"/>
                <a:satMod val="125000"/>
              </a:schemeClr>
            </a:gs>
            <a:gs pos="100000">
              <a:schemeClr val="accent3">
                <a:shade val="9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shade val="9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083064" y="1513141"/>
        <a:ext cx="688573" cy="174116"/>
      </dsp:txXfrm>
    </dsp:sp>
    <dsp:sp modelId="{6DB778FC-D980-4F00-A648-B74B7992A86B}">
      <dsp:nvSpPr>
        <dsp:cNvPr id="0" name=""/>
        <dsp:cNvSpPr/>
      </dsp:nvSpPr>
      <dsp:spPr>
        <a:xfrm>
          <a:off x="3282380" y="2370623"/>
          <a:ext cx="1658242" cy="829121"/>
        </a:xfrm>
        <a:prstGeom prst="roundRect">
          <a:avLst>
            <a:gd name="adj" fmla="val 10000"/>
          </a:avLst>
        </a:prstGeom>
        <a:gradFill rotWithShape="0">
          <a:gsLst>
            <a:gs pos="0">
              <a:schemeClr val="accent3">
                <a:shade val="80000"/>
                <a:hueOff val="266734"/>
                <a:satOff val="-25391"/>
                <a:lumOff val="18897"/>
                <a:alphaOff val="0"/>
                <a:tint val="100000"/>
                <a:shade val="75000"/>
                <a:satMod val="160000"/>
              </a:schemeClr>
            </a:gs>
            <a:gs pos="62000">
              <a:schemeClr val="accent3">
                <a:shade val="80000"/>
                <a:hueOff val="266734"/>
                <a:satOff val="-25391"/>
                <a:lumOff val="18897"/>
                <a:alphaOff val="0"/>
                <a:tint val="100000"/>
                <a:shade val="100000"/>
                <a:satMod val="125000"/>
              </a:schemeClr>
            </a:gs>
            <a:gs pos="100000">
              <a:schemeClr val="accent3">
                <a:shade val="80000"/>
                <a:hueOff val="266734"/>
                <a:satOff val="-25391"/>
                <a:lumOff val="18897"/>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shade val="80000"/>
              <a:hueOff val="266734"/>
              <a:satOff val="-25391"/>
              <a:lumOff val="18897"/>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Lindsay Cane (Secretary)</a:t>
          </a:r>
        </a:p>
      </dsp:txBody>
      <dsp:txXfrm>
        <a:off x="3306664" y="2394907"/>
        <a:ext cx="1609674" cy="780553"/>
      </dsp:txXfrm>
    </dsp:sp>
    <dsp:sp modelId="{6C3F25A3-54F5-4F60-A779-DE4C9B8BB447}">
      <dsp:nvSpPr>
        <dsp:cNvPr id="0" name=""/>
        <dsp:cNvSpPr/>
      </dsp:nvSpPr>
      <dsp:spPr>
        <a:xfrm rot="10800000">
          <a:off x="2311855" y="2640088"/>
          <a:ext cx="862689" cy="290192"/>
        </a:xfrm>
        <a:prstGeom prst="leftRightArrow">
          <a:avLst>
            <a:gd name="adj1" fmla="val 60000"/>
            <a:gd name="adj2" fmla="val 50000"/>
          </a:avLst>
        </a:prstGeom>
        <a:gradFill rotWithShape="0">
          <a:gsLst>
            <a:gs pos="0">
              <a:schemeClr val="accent3">
                <a:shade val="90000"/>
                <a:hueOff val="266843"/>
                <a:satOff val="-25074"/>
                <a:lumOff val="18093"/>
                <a:alphaOff val="0"/>
                <a:tint val="100000"/>
                <a:shade val="75000"/>
                <a:satMod val="160000"/>
              </a:schemeClr>
            </a:gs>
            <a:gs pos="62000">
              <a:schemeClr val="accent3">
                <a:shade val="90000"/>
                <a:hueOff val="266843"/>
                <a:satOff val="-25074"/>
                <a:lumOff val="18093"/>
                <a:alphaOff val="0"/>
                <a:tint val="100000"/>
                <a:shade val="100000"/>
                <a:satMod val="125000"/>
              </a:schemeClr>
            </a:gs>
            <a:gs pos="100000">
              <a:schemeClr val="accent3">
                <a:shade val="90000"/>
                <a:hueOff val="266843"/>
                <a:satOff val="-25074"/>
                <a:lumOff val="18093"/>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shade val="90000"/>
              <a:hueOff val="266843"/>
              <a:satOff val="-25074"/>
              <a:lumOff val="18093"/>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10800000">
        <a:off x="2398913" y="2698126"/>
        <a:ext cx="688573" cy="174116"/>
      </dsp:txXfrm>
    </dsp:sp>
    <dsp:sp modelId="{492ED10E-A513-4C36-AB5E-CB845D8D9AA5}">
      <dsp:nvSpPr>
        <dsp:cNvPr id="0" name=""/>
        <dsp:cNvSpPr/>
      </dsp:nvSpPr>
      <dsp:spPr>
        <a:xfrm>
          <a:off x="545776" y="2370623"/>
          <a:ext cx="1658242" cy="829121"/>
        </a:xfrm>
        <a:prstGeom prst="roundRect">
          <a:avLst>
            <a:gd name="adj" fmla="val 10000"/>
          </a:avLst>
        </a:prstGeom>
        <a:gradFill rotWithShape="0">
          <a:gsLst>
            <a:gs pos="0">
              <a:schemeClr val="accent3">
                <a:shade val="80000"/>
                <a:hueOff val="533469"/>
                <a:satOff val="-50782"/>
                <a:lumOff val="37794"/>
                <a:alphaOff val="0"/>
                <a:tint val="100000"/>
                <a:shade val="75000"/>
                <a:satMod val="160000"/>
              </a:schemeClr>
            </a:gs>
            <a:gs pos="62000">
              <a:schemeClr val="accent3">
                <a:shade val="80000"/>
                <a:hueOff val="533469"/>
                <a:satOff val="-50782"/>
                <a:lumOff val="37794"/>
                <a:alphaOff val="0"/>
                <a:tint val="100000"/>
                <a:shade val="100000"/>
                <a:satMod val="125000"/>
              </a:schemeClr>
            </a:gs>
            <a:gs pos="100000">
              <a:schemeClr val="accent3">
                <a:shade val="80000"/>
                <a:hueOff val="533469"/>
                <a:satOff val="-50782"/>
                <a:lumOff val="37794"/>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shade val="80000"/>
              <a:hueOff val="533469"/>
              <a:satOff val="-50782"/>
              <a:lumOff val="37794"/>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Jane Winfield (Director)</a:t>
          </a:r>
        </a:p>
      </dsp:txBody>
      <dsp:txXfrm>
        <a:off x="570060" y="2394907"/>
        <a:ext cx="1609674" cy="780553"/>
      </dsp:txXfrm>
    </dsp:sp>
    <dsp:sp modelId="{A38A3851-58E1-4E01-819C-388122B04068}">
      <dsp:nvSpPr>
        <dsp:cNvPr id="0" name=""/>
        <dsp:cNvSpPr/>
      </dsp:nvSpPr>
      <dsp:spPr>
        <a:xfrm rot="18000000">
          <a:off x="1627704" y="1455103"/>
          <a:ext cx="862689" cy="290192"/>
        </a:xfrm>
        <a:prstGeom prst="leftRightArrow">
          <a:avLst>
            <a:gd name="adj1" fmla="val 60000"/>
            <a:gd name="adj2" fmla="val 50000"/>
          </a:avLst>
        </a:prstGeom>
        <a:gradFill rotWithShape="0">
          <a:gsLst>
            <a:gs pos="0">
              <a:schemeClr val="accent3">
                <a:shade val="90000"/>
                <a:hueOff val="533686"/>
                <a:satOff val="-50149"/>
                <a:lumOff val="36187"/>
                <a:alphaOff val="0"/>
                <a:tint val="100000"/>
                <a:shade val="75000"/>
                <a:satMod val="160000"/>
              </a:schemeClr>
            </a:gs>
            <a:gs pos="62000">
              <a:schemeClr val="accent3">
                <a:shade val="90000"/>
                <a:hueOff val="533686"/>
                <a:satOff val="-50149"/>
                <a:lumOff val="36187"/>
                <a:alphaOff val="0"/>
                <a:tint val="100000"/>
                <a:shade val="100000"/>
                <a:satMod val="125000"/>
              </a:schemeClr>
            </a:gs>
            <a:gs pos="100000">
              <a:schemeClr val="accent3">
                <a:shade val="90000"/>
                <a:hueOff val="533686"/>
                <a:satOff val="-50149"/>
                <a:lumOff val="36187"/>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3">
              <a:shade val="90000"/>
              <a:hueOff val="533686"/>
              <a:satOff val="-50149"/>
              <a:lumOff val="36187"/>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1714762" y="1513141"/>
        <a:ext cx="688573" cy="17411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C35D5BE2C64609B3F67E301E265452"/>
        <w:category>
          <w:name w:val="General"/>
          <w:gallery w:val="placeholder"/>
        </w:category>
        <w:types>
          <w:type w:val="bbPlcHdr"/>
        </w:types>
        <w:behaviors>
          <w:behavior w:val="content"/>
        </w:behaviors>
        <w:guid w:val="{19151449-8834-4CE5-85BD-3B917DFC2C5C}"/>
      </w:docPartPr>
      <w:docPartBody>
        <w:p w:rsidR="00A13042" w:rsidRDefault="00A13042" w:rsidP="00A13042">
          <w:pPr>
            <w:pStyle w:val="78C35D5BE2C64609B3F67E301E265452"/>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March 29</w:t>
          </w:r>
          <w:r w:rsidRPr="00D86945">
            <w:rPr>
              <w:rStyle w:val="SubtitleChar"/>
              <w:b/>
            </w:rPr>
            <w:fldChar w:fldCharType="end"/>
          </w:r>
        </w:p>
      </w:docPartBody>
    </w:docPart>
    <w:docPart>
      <w:docPartPr>
        <w:name w:val="A3A4D53A3A8F4808AEA9EA21D8803DE5"/>
        <w:category>
          <w:name w:val="General"/>
          <w:gallery w:val="placeholder"/>
        </w:category>
        <w:types>
          <w:type w:val="bbPlcHdr"/>
        </w:types>
        <w:behaviors>
          <w:behavior w:val="content"/>
        </w:behaviors>
        <w:guid w:val="{C65FE0C7-062C-40C0-AF35-B3C93E918247}"/>
      </w:docPartPr>
      <w:docPartBody>
        <w:p w:rsidR="00A13042" w:rsidRDefault="00A13042" w:rsidP="00A13042">
          <w:pPr>
            <w:pStyle w:val="A3A4D53A3A8F4808AEA9EA21D8803DE5"/>
          </w:pPr>
          <w:r>
            <w:t>COMPANY NAME</w:t>
          </w:r>
        </w:p>
      </w:docPartBody>
    </w:docPart>
    <w:docPart>
      <w:docPartPr>
        <w:name w:val="D8ECBB2A1E85423BB955D87561D0E2B2"/>
        <w:category>
          <w:name w:val="General"/>
          <w:gallery w:val="placeholder"/>
        </w:category>
        <w:types>
          <w:type w:val="bbPlcHdr"/>
        </w:types>
        <w:behaviors>
          <w:behavior w:val="content"/>
        </w:behaviors>
        <w:guid w:val="{1AA5B5B6-8E31-4A8F-AC30-B2C7586DF4B1}"/>
      </w:docPartPr>
      <w:docPartBody>
        <w:p w:rsidR="00A66726" w:rsidRDefault="00A13042" w:rsidP="00A13042">
          <w:pPr>
            <w:pStyle w:val="D8ECBB2A1E85423BB955D87561D0E2B2"/>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42"/>
    <w:rsid w:val="000F2C3E"/>
    <w:rsid w:val="00200A1C"/>
    <w:rsid w:val="00276F30"/>
    <w:rsid w:val="00526403"/>
    <w:rsid w:val="005947B7"/>
    <w:rsid w:val="006B56F4"/>
    <w:rsid w:val="00752710"/>
    <w:rsid w:val="00960F1F"/>
    <w:rsid w:val="009C2248"/>
    <w:rsid w:val="00A13042"/>
    <w:rsid w:val="00A66726"/>
    <w:rsid w:val="00AD58AC"/>
    <w:rsid w:val="00B80AF2"/>
    <w:rsid w:val="00B84EC1"/>
    <w:rsid w:val="00D67108"/>
    <w:rsid w:val="00E8190E"/>
    <w:rsid w:val="00E9262E"/>
    <w:rsid w:val="00F7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A13042"/>
    <w:pPr>
      <w:framePr w:hSpace="180" w:wrap="around" w:vAnchor="text" w:hAnchor="margin" w:y="1167"/>
      <w:spacing w:after="0" w:line="276" w:lineRule="auto"/>
    </w:pPr>
    <w:rPr>
      <w:caps/>
      <w:color w:val="1F497D" w:themeColor="text2"/>
      <w:spacing w:val="20"/>
      <w:sz w:val="32"/>
      <w:lang w:val="en-US" w:eastAsia="en-US"/>
    </w:rPr>
  </w:style>
  <w:style w:type="character" w:customStyle="1" w:styleId="SubtitleChar">
    <w:name w:val="Subtitle Char"/>
    <w:basedOn w:val="DefaultParagraphFont"/>
    <w:link w:val="Subtitle"/>
    <w:uiPriority w:val="2"/>
    <w:rsid w:val="00A13042"/>
    <w:rPr>
      <w:caps/>
      <w:color w:val="1F497D" w:themeColor="text2"/>
      <w:spacing w:val="20"/>
      <w:sz w:val="32"/>
      <w:lang w:val="en-US" w:eastAsia="en-US"/>
    </w:rPr>
  </w:style>
  <w:style w:type="paragraph" w:customStyle="1" w:styleId="13293837B4824D848EC1E1057C438886">
    <w:name w:val="13293837B4824D848EC1E1057C438886"/>
  </w:style>
  <w:style w:type="paragraph" w:customStyle="1" w:styleId="EABE23B6156849EDB03326068AF445B7">
    <w:name w:val="EABE23B6156849EDB03326068AF445B7"/>
  </w:style>
  <w:style w:type="paragraph" w:customStyle="1" w:styleId="ABA3ADE8993A4521B7FEFA85FE5F2163">
    <w:name w:val="ABA3ADE8993A4521B7FEFA85FE5F2163"/>
  </w:style>
  <w:style w:type="paragraph" w:customStyle="1" w:styleId="778BBB6C5A4B40FE9FA71CA2E0657A4E">
    <w:name w:val="778BBB6C5A4B40FE9FA71CA2E0657A4E"/>
  </w:style>
  <w:style w:type="paragraph" w:customStyle="1" w:styleId="367F4CEB28DB4D6994EC6E80A8E2C964">
    <w:name w:val="367F4CEB28DB4D6994EC6E80A8E2C964"/>
  </w:style>
  <w:style w:type="paragraph" w:customStyle="1" w:styleId="798AF3E3D563494CA871DA98337D2813">
    <w:name w:val="798AF3E3D563494CA871DA98337D2813"/>
  </w:style>
  <w:style w:type="paragraph" w:customStyle="1" w:styleId="88368F52052249189BE8E64A49F0AC96">
    <w:name w:val="88368F52052249189BE8E64A49F0AC96"/>
  </w:style>
  <w:style w:type="paragraph" w:customStyle="1" w:styleId="AE5002E2A869475E8D388DB52DFC0013">
    <w:name w:val="AE5002E2A869475E8D388DB52DFC0013"/>
  </w:style>
  <w:style w:type="paragraph" w:customStyle="1" w:styleId="8A9E4CCAD76341CF92AB9D25E1872B6D">
    <w:name w:val="8A9E4CCAD76341CF92AB9D25E1872B6D"/>
    <w:rsid w:val="00A13042"/>
  </w:style>
  <w:style w:type="paragraph" w:customStyle="1" w:styleId="DBA509F00FF04907869CEA35E7F98C12">
    <w:name w:val="DBA509F00FF04907869CEA35E7F98C12"/>
    <w:rsid w:val="00A13042"/>
  </w:style>
  <w:style w:type="paragraph" w:customStyle="1" w:styleId="3532D42CB2F54310BBBF3455BBF9E37B">
    <w:name w:val="3532D42CB2F54310BBBF3455BBF9E37B"/>
    <w:rsid w:val="00A13042"/>
  </w:style>
  <w:style w:type="paragraph" w:customStyle="1" w:styleId="F3F7540A78DE410D87DCA10A12D2E429">
    <w:name w:val="F3F7540A78DE410D87DCA10A12D2E429"/>
    <w:rsid w:val="00A13042"/>
  </w:style>
  <w:style w:type="paragraph" w:customStyle="1" w:styleId="EC96E5CDA6034689BCAC3230B05E5752">
    <w:name w:val="EC96E5CDA6034689BCAC3230B05E5752"/>
    <w:rsid w:val="00A13042"/>
  </w:style>
  <w:style w:type="paragraph" w:customStyle="1" w:styleId="B761A8FCE4694C58BD71D38D791D35DB">
    <w:name w:val="B761A8FCE4694C58BD71D38D791D35DB"/>
    <w:rsid w:val="00A13042"/>
  </w:style>
  <w:style w:type="paragraph" w:customStyle="1" w:styleId="78C35D5BE2C64609B3F67E301E265452">
    <w:name w:val="78C35D5BE2C64609B3F67E301E265452"/>
    <w:rsid w:val="00A13042"/>
  </w:style>
  <w:style w:type="paragraph" w:customStyle="1" w:styleId="A3A4D53A3A8F4808AEA9EA21D8803DE5">
    <w:name w:val="A3A4D53A3A8F4808AEA9EA21D8803DE5"/>
    <w:rsid w:val="00A13042"/>
  </w:style>
  <w:style w:type="paragraph" w:customStyle="1" w:styleId="AF695483CB204A87BD14B9B38F1C07DD">
    <w:name w:val="AF695483CB204A87BD14B9B38F1C07DD"/>
    <w:rsid w:val="00A13042"/>
  </w:style>
  <w:style w:type="paragraph" w:customStyle="1" w:styleId="D29790E3FACF4229903EACA32E8A2D10">
    <w:name w:val="D29790E3FACF4229903EACA32E8A2D10"/>
    <w:rsid w:val="00A13042"/>
  </w:style>
  <w:style w:type="paragraph" w:customStyle="1" w:styleId="D8ECBB2A1E85423BB955D87561D0E2B2">
    <w:name w:val="D8ECBB2A1E85423BB955D87561D0E2B2"/>
    <w:rsid w:val="00A13042"/>
  </w:style>
  <w:style w:type="paragraph" w:customStyle="1" w:styleId="D08DD29E58F24E6E99C477DA50A455F1">
    <w:name w:val="D08DD29E58F24E6E99C477DA50A455F1"/>
    <w:rsid w:val="00E81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A13042"/>
    <w:pPr>
      <w:framePr w:hSpace="180" w:wrap="around" w:vAnchor="text" w:hAnchor="margin" w:y="1167"/>
      <w:spacing w:after="0" w:line="276" w:lineRule="auto"/>
    </w:pPr>
    <w:rPr>
      <w:caps/>
      <w:color w:val="1F497D" w:themeColor="text2"/>
      <w:spacing w:val="20"/>
      <w:sz w:val="32"/>
      <w:lang w:val="en-US" w:eastAsia="en-US"/>
    </w:rPr>
  </w:style>
  <w:style w:type="character" w:customStyle="1" w:styleId="SubtitleChar">
    <w:name w:val="Subtitle Char"/>
    <w:basedOn w:val="DefaultParagraphFont"/>
    <w:link w:val="Subtitle"/>
    <w:uiPriority w:val="2"/>
    <w:rsid w:val="00A13042"/>
    <w:rPr>
      <w:caps/>
      <w:color w:val="1F497D" w:themeColor="text2"/>
      <w:spacing w:val="20"/>
      <w:sz w:val="32"/>
      <w:lang w:val="en-US" w:eastAsia="en-US"/>
    </w:rPr>
  </w:style>
  <w:style w:type="paragraph" w:customStyle="1" w:styleId="13293837B4824D848EC1E1057C438886">
    <w:name w:val="13293837B4824D848EC1E1057C438886"/>
  </w:style>
  <w:style w:type="paragraph" w:customStyle="1" w:styleId="EABE23B6156849EDB03326068AF445B7">
    <w:name w:val="EABE23B6156849EDB03326068AF445B7"/>
  </w:style>
  <w:style w:type="paragraph" w:customStyle="1" w:styleId="ABA3ADE8993A4521B7FEFA85FE5F2163">
    <w:name w:val="ABA3ADE8993A4521B7FEFA85FE5F2163"/>
  </w:style>
  <w:style w:type="paragraph" w:customStyle="1" w:styleId="778BBB6C5A4B40FE9FA71CA2E0657A4E">
    <w:name w:val="778BBB6C5A4B40FE9FA71CA2E0657A4E"/>
  </w:style>
  <w:style w:type="paragraph" w:customStyle="1" w:styleId="367F4CEB28DB4D6994EC6E80A8E2C964">
    <w:name w:val="367F4CEB28DB4D6994EC6E80A8E2C964"/>
  </w:style>
  <w:style w:type="paragraph" w:customStyle="1" w:styleId="798AF3E3D563494CA871DA98337D2813">
    <w:name w:val="798AF3E3D563494CA871DA98337D2813"/>
  </w:style>
  <w:style w:type="paragraph" w:customStyle="1" w:styleId="88368F52052249189BE8E64A49F0AC96">
    <w:name w:val="88368F52052249189BE8E64A49F0AC96"/>
  </w:style>
  <w:style w:type="paragraph" w:customStyle="1" w:styleId="AE5002E2A869475E8D388DB52DFC0013">
    <w:name w:val="AE5002E2A869475E8D388DB52DFC0013"/>
  </w:style>
  <w:style w:type="paragraph" w:customStyle="1" w:styleId="8A9E4CCAD76341CF92AB9D25E1872B6D">
    <w:name w:val="8A9E4CCAD76341CF92AB9D25E1872B6D"/>
    <w:rsid w:val="00A13042"/>
  </w:style>
  <w:style w:type="paragraph" w:customStyle="1" w:styleId="DBA509F00FF04907869CEA35E7F98C12">
    <w:name w:val="DBA509F00FF04907869CEA35E7F98C12"/>
    <w:rsid w:val="00A13042"/>
  </w:style>
  <w:style w:type="paragraph" w:customStyle="1" w:styleId="3532D42CB2F54310BBBF3455BBF9E37B">
    <w:name w:val="3532D42CB2F54310BBBF3455BBF9E37B"/>
    <w:rsid w:val="00A13042"/>
  </w:style>
  <w:style w:type="paragraph" w:customStyle="1" w:styleId="F3F7540A78DE410D87DCA10A12D2E429">
    <w:name w:val="F3F7540A78DE410D87DCA10A12D2E429"/>
    <w:rsid w:val="00A13042"/>
  </w:style>
  <w:style w:type="paragraph" w:customStyle="1" w:styleId="EC96E5CDA6034689BCAC3230B05E5752">
    <w:name w:val="EC96E5CDA6034689BCAC3230B05E5752"/>
    <w:rsid w:val="00A13042"/>
  </w:style>
  <w:style w:type="paragraph" w:customStyle="1" w:styleId="B761A8FCE4694C58BD71D38D791D35DB">
    <w:name w:val="B761A8FCE4694C58BD71D38D791D35DB"/>
    <w:rsid w:val="00A13042"/>
  </w:style>
  <w:style w:type="paragraph" w:customStyle="1" w:styleId="78C35D5BE2C64609B3F67E301E265452">
    <w:name w:val="78C35D5BE2C64609B3F67E301E265452"/>
    <w:rsid w:val="00A13042"/>
  </w:style>
  <w:style w:type="paragraph" w:customStyle="1" w:styleId="A3A4D53A3A8F4808AEA9EA21D8803DE5">
    <w:name w:val="A3A4D53A3A8F4808AEA9EA21D8803DE5"/>
    <w:rsid w:val="00A13042"/>
  </w:style>
  <w:style w:type="paragraph" w:customStyle="1" w:styleId="AF695483CB204A87BD14B9B38F1C07DD">
    <w:name w:val="AF695483CB204A87BD14B9B38F1C07DD"/>
    <w:rsid w:val="00A13042"/>
  </w:style>
  <w:style w:type="paragraph" w:customStyle="1" w:styleId="D29790E3FACF4229903EACA32E8A2D10">
    <w:name w:val="D29790E3FACF4229903EACA32E8A2D10"/>
    <w:rsid w:val="00A13042"/>
  </w:style>
  <w:style w:type="paragraph" w:customStyle="1" w:styleId="D8ECBB2A1E85423BB955D87561D0E2B2">
    <w:name w:val="D8ECBB2A1E85423BB955D87561D0E2B2"/>
    <w:rsid w:val="00A13042"/>
  </w:style>
  <w:style w:type="paragraph" w:customStyle="1" w:styleId="D08DD29E58F24E6E99C477DA50A455F1">
    <w:name w:val="D08DD29E58F24E6E99C477DA50A455F1"/>
    <w:rsid w:val="00E81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00A009-A1C4-4E73-9658-5EF506114F9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David Watt</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C1980-19B2-464C-8500-9EB23F3A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C7F27498</Template>
  <TotalTime>1</TotalTime>
  <Pages>27</Pages>
  <Words>3820</Words>
  <Characters>21776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dwatt</dc:creator>
  <cp:lastModifiedBy>cphythian</cp:lastModifiedBy>
  <cp:revision>2</cp:revision>
  <cp:lastPrinted>2019-06-05T16:17:00Z</cp:lastPrinted>
  <dcterms:created xsi:type="dcterms:W3CDTF">2019-07-15T14:06:00Z</dcterms:created>
  <dcterms:modified xsi:type="dcterms:W3CDTF">2019-07-15T14:06:00Z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